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213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2–9,11–12,15–52</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60 of 85 cell representatives unchanged, with the 13 changed and 12 dropped cells falling mainly among the disaggregated AANHPI subgroups and, in smaller numbers, the receptor-subtype, age-specific, and Middle Eastern cells; restricting to directly reported estimates left 35 unchanged (5 changed, 45 dropped); restricting to NHW-comparator estimates left 66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SEER-21 period;</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21</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10,36,40,44</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2,20</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49</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color w:val="000000"/>
          <w:sz w:val="24"/>
          <w:szCs w:val="24"/>
          <w:vertAlign w:val="superscript"/>
        </w:rPr>
        <w:t xml:space="preserve">10,44</w:t>
      </w:r>
      <w:r>
        <w:rPr>
          <w:rFonts w:ascii="Times New Roman" w:cs="Times New Roman" w:eastAsia="Times New Roman" w:hAnsi="Times New Roman"/>
          <w:color w:val="000000"/>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34,48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2,29</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does not depend on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color w:val="000000"/>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color w:val="000000"/>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color w:val="000000"/>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color w:val="000000"/>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color w:val="000000"/>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color w:val="000000"/>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color w:val="000000"/>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a830d148e42bdfb177f1c79a09f0ec3734f75f.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2026-09-13T08:51:02.024Z</dcterms:created>
  <dcterms:modified xsi:type="dcterms:W3CDTF">2026-09-13T08:51:02.025Z</dcterms:modified>
</cp:coreProperties>
</file>

<file path=docProps/custom.xml><?xml version="1.0" encoding="utf-8"?>
<Properties xmlns="http://schemas.openxmlformats.org/officeDocument/2006/custom-properties" xmlns:vt="http://schemas.openxmlformats.org/officeDocument/2006/docPropsVTypes"/>
</file>