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of the model-excluded records was re-screened (reproducible seed): every title and its recorded exclusion reason was read, and the abstracts of the records that concerned breast cancer or race and ethnicity with incidence were retrieved and read. This re-screen found one wrongly excluded record—a Louisiana Tumor Registry triple-negative study—which was added to the review; its full text was subsequently obtained, and it entered the quantitative synthesis as a regional overlapping estimate for the NHB triple-negative cell (Black-versus-White rate ratio 2.21, 95% CI 1.96–2.48), consistent with the higher NHB triple-negative burden reported below. The other 199 were confirmed correctly excluded. Because that miss implied others, the whole excluded set was then scanned for the same signature, and full-text review of the flagged records identified two further wrongly excluded studies—both Massachusetts Cancer Registry reports of age-standardized breast incidence by race versus NHW—which were likewise added to the quantitative synthesis as single-state overlaps. All three misses were neighborhood- or segregation-focused studies that nonetheless reported race-specific incidence in a table, and all three entered the sensitivity analysis without changing a representative. Other flagged studies of that kind were checked in full with different outcomes: one reporting inflammatory breast cancer incidence by race was added to the narrative synthesis (that morphological subtype falls outside the receptor-defined quantitative cells), while two were confirmed correctly excluded because they reported incidence only by socioeconomic stratum within a single race or within each race, not a race-versus-White comparison. That eligible studies surfaced this way indicates a small residual false-negative rate; single-reviewer screening with model assistance, rather than independent dual screening, is a limitation (Supplementary, screening audit). The author then obtained and read the full texts and made all full-text eligibility and inclusion decisions personally—except for four reports whose full text could not be obtained, which were assessed and included on the basis of their abstracts and enter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printed in image-only tables were not missed. Four reports first placed in the narrative set were moved to the quantitative synthesis once their tables were read in full: two national USCS studies giving age-adjusted incidence rate ratios versus NHW women for those aged 20–49 years and for those aged 65 years and older, a seven-state Delta-region study giving age-adjusted subtype rate ratios versus NHW women, and a SEER study giving age-adjusted rates by race from which the NHW comparison was recomputed. All four contributed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not a contemporary one—diagnosis periods vary by cell, and some representatives predate 2005)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245 reports; 10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2026-09-12T01:46:50.657Z</dcterms:created>
  <dcterms:modified xsi:type="dcterms:W3CDTF">2026-09-12T01:46:50.658Z</dcterms:modified>
</cp:coreProperties>
</file>

<file path=docProps/custom.xml><?xml version="1.0" encoding="utf-8"?>
<Properties xmlns="http://schemas.openxmlformats.org/officeDocument/2006/custom-properties" xmlns:vt="http://schemas.openxmlformats.org/officeDocument/2006/docPropsVTypes"/>
</file>