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Diagnosis period and registry region differed across cells and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NHW-comparator, and standard-population restrictions, while a few near-null differences—chiefly among Asian American subgroups, notably Japanese women—changed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comparator, and standard-population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2026-09-12T09:34:18.182Z</dcterms:created>
  <dcterms:modified xsi:type="dcterms:W3CDTF">2026-09-12T09:34:18.183Z</dcterms:modified>
</cp:coreProperties>
</file>

<file path=docProps/custom.xml><?xml version="1.0" encoding="utf-8"?>
<Properties xmlns="http://schemas.openxmlformats.org/officeDocument/2006/custom-properties" xmlns:vt="http://schemas.openxmlformats.org/officeDocument/2006/docPropsVTypes"/>
</file>