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19 of the 85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1.27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analytic cell,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w:t>
      </w:r>
    </w:p>
    <w:p>
      <w:pPr>
        <w:spacing w:after="160" w:line="360"/>
      </w:pPr>
      <w:r>
        <w:rPr>
          <w:rFonts w:ascii="Times New Roman" w:cs="Times New Roman" w:eastAsia="Times New Roman" w:hAnsi="Times New Roman"/>
          <w:color w:val="000000"/>
          <w:sz w:val="24"/>
          <w:szCs w:val="24"/>
        </w:rPr>
        <w:t xml:space="preserve">A publication that re-reported an estimate already captured from the same registry, diagnosis period, and population was not an independent estimate, so it was never taken as a representative. What then became of it depended on whether another included publication already carried the same content. Where one did, the re-report added nothing and was excluded as a duplicate dataset: 55 reports, of which 51 were earlier editions of the annual cancer-statistics reports or of the Annual Report to the Nation, two were preprint versions of an included analysis, and two were book chapters. Where none did, the report was kept. This applied to the most recent eligible edition of a recurring series, which is the only edition carrying that series' current account; since the registry incidence it reports already came from the dedicated primary study for that registry and period, it contributed to the narrative synthesis alone.</w:t>
      </w:r>
    </w:p>
    <w:p>
      <w:pPr>
        <w:spacing w:after="160" w:line="360"/>
      </w:pPr>
      <w:r>
        <w:rPr>
          <w:rFonts w:ascii="Times New Roman" w:cs="Times New Roman" w:eastAsia="Times New Roman" w:hAnsi="Times New Roman"/>
          <w:color w:val="000000"/>
          <w:sz w:val="24"/>
          <w:szCs w:val="24"/>
        </w:rPr>
        <w:t xml:space="preserve">A publication drawing on the same registry family but a different period, region, or subset was a different matter. Such a report gave a distinct estimate and was retained as an overlapping one for the sensitivity analysis rather than excluded; its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reviewed the proposals of each kind.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the rates the source reported (with a reported or Poisson-derived variance, or none where neither was available)—and the label was retained for risk-of-bias scoring and for a provenance-restricted sensitivity analysis. Every estimate was recorded with the minority group as the numerator and the White reference as the denominator. Where a source reported a ratio the other way round, it was inverted to that direction and labelled as inverted rather than recomputed, which happened once: a study that reported its overall Black comparison as NHW over Black while giving its other group comparisons the usual way (Supplementary Note 1).</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source—18 cells, being 16 of the 36 receptor-defined subtype cells and the two Black cells above and below age 40—the estimate using an unstratified White comparator was kept as the representative. One further cell, Alaska Native, also rests on an unstratified White comparator although an NHW-comparator source exists for it, the broader-coverage rule above having selected the registry that reports against an unstratified White reference; 19 of the 85 representatives use such a reference in all. Each estimate's comparator is named in Supplementary Table 4; where such a cell appears in the main text it is marked †.</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Alaska Native women are an example.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The checklist records a Yes, No, Unclear or Not applicable for each item and summarises a study as include, exclude or seek further information rather than as a graded rating,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w:t>
      </w:r>
    </w:p>
    <w:p>
      <w:pPr>
        <w:spacing w:after="160" w:line="360"/>
      </w:pPr>
      <w:r>
        <w:rPr>
          <w:rFonts w:ascii="Times New Roman" w:cs="Times New Roman" w:eastAsia="Times New Roman" w:hAnsi="Times New Roman"/>
          <w:color w:val="000000"/>
          <w:sz w:val="24"/>
          <w:szCs w:val="24"/>
        </w:rPr>
        <w:t xml:space="preserve">Each study was appraised as the source of the estimates taken from it here rather than as a whole publication, and the items divide accordingly. 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 Item 8 depends on the estimates themselves and was judged on those extracted for this review, a variance counting as available when the source printed an interval or when an interval could be recovered from what the source reports.</w:t>
      </w:r>
    </w:p>
    <w:p>
      <w:pPr>
        <w:spacing w:after="160" w:line="360"/>
      </w:pPr>
      <w:r>
        <w:rPr>
          <w:rFonts w:ascii="Times New Roman" w:cs="Times New Roman" w:eastAsia="Times New Roman" w:hAnsi="Times New Roman"/>
          <w:color w:val="000000"/>
          <w:sz w:val="24"/>
          <w:szCs w:val="24"/>
        </w:rPr>
        <w:t xml:space="preserve">A study whose extracted estimates carry no interval therefore rates "No" on item 8 whether or not the source printed the ratio itself, which places a point estimate without a variance at moderate rather than low risk of bias. That rating reflects incomplete reporting of uncertainty rather than evidence that the estimate is biased, and it is the reason several large registry analyses that report ratios without intervals are rated moderate.</w:t>
      </w:r>
    </w:p>
    <w:p>
      <w:pPr>
        <w:spacing w:after="160" w:line="360"/>
      </w:pPr>
      <w:r>
        <w:rPr>
          <w:rFonts w:ascii="Times New Roman" w:cs="Times New Roman" w:eastAsia="Times New Roman" w:hAnsi="Times New Roman"/>
          <w:color w:val="000000"/>
          <w:sz w:val="24"/>
          <w:szCs w:val="24"/>
        </w:rPr>
        <w:t xml:space="preserve">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Two sources reported a standardized incidence ratio (SIR) rather than an IRR—South Asian women and Alaska Native women, each against the US White population; because an SIR indirectly standardizes to the reference population's age structure rather than expressing two directly standardized rates on a common standard, both were read on the same relative-to-White scale but labelled as SIRs (Supplementary Table 4) and excluded from the directly-reported-IRR sensitivity analysis. Neither is the representative for its cell, so no estimate reported in the main text is an SIR.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—22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38 covering the principal comparisons—overall incidence, the disaggregated AANHPI and Hispanic-origin subgroups, AI/AN by region, Middle Eastern populations, and TNBC—are shown in Table 1; the remaining cells, chiefly the other receptor-defined subtypes and the age-specific comparisons, are in the Supplementary Materials. The reference group was NHW for 66 of the 85 representatives and an unstratified White group for the other 19; five of those are among the cells shown in Table 1, where they carry a †, and Supplementary Table 4 names the comparator of every extracted estimate in a column rather than by mark.</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1.27 (1.21–1.33),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(28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(24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21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two indirectly standardized SIRs—left 35 unchanged (4 changed, 46 dropped; Supplementary Table 6b); restricting to NHW-comparator estimates left 66 unchanged (1 changed, 18 dropped; Supplementary Table 6c), the 18 dropped cells being those whose only representative used an unstratified White comparator — 16 receptor-defined subtype cells and the two Black cells above and below age 40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19 of the 85 cells, most of them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(1.27)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follows the pattern in earlier Indian Health Service–linked regional reports,</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and the low Navajo-area rate that in the Navajo Nation registry analysis;</w:t>
      </w:r>
      <w:r>
        <w:rPr>
          <w:rFonts w:ascii="Times New Roman" w:cs="Times New Roman" w:eastAsia="Times New Roman" w:hAnsi="Times New Roman"/>
          <w:color w:val="000000"/>
          <w:sz w:val="24"/>
          <w:szCs w:val="24"/>
          <w:vertAlign w:val="superscript"/>
        </w:rPr>
        <w:t xml:space="preserve">48</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Two features of the underlying data shaped these estimates: how AI/AN cases were ascertained, and which White group each source compared against.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two national figures differ substantially—0.56 from an unlinked source and 0.87 from an IHS-linked one—but they come from separate studies, so the gap cannot be read as the effect of linkage alone. Three differences run together. The unlinked estimate covers 1999–2015 and the IHS-linked one 2010–2015, and the AI/AN ratio rose over that interval. The IHS-linked figure is confined to Purchased/Referred Care Delivery Area counties, and that restriction applies to the NHW comparison group as well, so its numerator and denominator both describe a different population from the national one. Those counties contain or adjoin federally recognized tribal lands and hold about 53% of the U.S. AI/AN population, with regional coverage from 16% in the East to all of Alaska,</w:t>
      </w:r>
      <w:r>
        <w:rPr>
          <w:rFonts w:ascii="Times New Roman" w:cs="Times New Roman" w:eastAsia="Times New Roman" w:hAnsi="Times New Roman"/>
          <w:color w:val="000000"/>
          <w:sz w:val="24"/>
          <w:szCs w:val="24"/>
          <w:vertAlign w:val="superscript"/>
        </w:rPr>
        <w:t xml:space="preserve">53</w:t>
      </w:r>
      <w:r>
        <w:rPr>
          <w:rFonts w:ascii="Times New Roman" w:cs="Times New Roman" w:eastAsia="Times New Roman" w:hAnsi="Times New Roman"/>
          <w:color w:val="000000"/>
          <w:sz w:val="24"/>
          <w:szCs w:val="24"/>
        </w:rPr>
        <w:t xml:space="preserve"> so the IHS-linked figures describe about half of this population rather than the whole of it, and the better-covered regions are those where AI/AN residents make up a larger share of the county population. Only the third difference—how AI/AN race was ascertained—is the linkage itself.</w:t>
      </w:r>
    </w:p>
    <w:p>
      <w:pPr>
        <w:spacing w:after="160" w:line="360"/>
      </w:pPr>
      <w:r>
        <w:rPr>
          <w:rFonts w:ascii="Times New Roman" w:cs="Times New Roman" w:eastAsia="Times New Roman" w:hAnsi="Times New Roman"/>
          <w:color w:val="000000"/>
          <w:sz w:val="24"/>
          <w:szCs w:val="24"/>
        </w:rPr>
        <w:t xml:space="preserve">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and Figure 2). 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w:t>
      </w:r>
    </w:p>
    <w:p>
      <w:pPr>
        <w:spacing w:after="160" w:line="360"/>
      </w:pPr>
      <w:r>
        <w:rPr>
          <w:rFonts w:ascii="Times New Roman" w:cs="Times New Roman" w:eastAsia="Times New Roman" w:hAnsi="Times New Roman"/>
          <w:color w:val="000000"/>
          <w:sz w:val="24"/>
          <w:szCs w:val="24"/>
        </w:rPr>
        <w:t xml:space="preserve">Reference groups also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for most of the cells each restriction could re-examine, but not uniformly. Cells that no estimate could fill under a restriction were dropped, and a dropped cell is untested under that restriction rather than confirmed by it—the directly-reported restriction alone leaves 46 of the 85 cells unexamined, because registries publish rates rather than ratios. Standard-population differences changed little. The low-risk-of-bias restriction moved the most cells (19 of the 73 it could re-examine), concentrated in the disaggregated AANHPI subgroups, the age-specific cells whose estimates sit near the NHW rate, as with the Japanese cell above, and the AI/AN cells. The AI/AN change is the largest, and it turns on how uncertainty was reported rather than on a difference in bias. The national aggregate's representative—the 2010–2015 IHS-linked estimate of 0.87—is rated moderate only because it prints no confidence interval, so the restriction replaces it with the 1999–2004 IHS-linked estimate of 0.63, which does print intervals. The gap between the two is the rise over time described above, not two sources disagreeing about one period. That substitution nonetheless moves AI/AN below Hispanic/Latina women, so the ordering of the aggregates is not preserved under that restriction, and neither the ordering nor a few near-null subgroup signs should be read as established.</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 Across cells, differences in standard population, underlying age structure, registry region, and diagnosis period therefore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at the full abstract with an explicit keyword filter, leaving the residual risk of a missed study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and their aggregates can be seen together in one place. 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 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recorded—marked in the main-text table and figures (computed CI ‡; unstratified White †) and named in full in Supplementary Table 4—so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2240" w:h="15840"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586"/>
        <w:gridCol w:w="3310"/>
        <w:gridCol w:w="3090"/>
        <w:gridCol w:w="2648"/>
        <w:gridCol w:w="1766"/>
      </w:tblGrid>
      <w:tr>
        <w:trPr>
          <w:tblHeader/>
        </w:trPr>
        <w:tc>
          <w:tcPr>
            <w:tcW w:type="dxa" w:w="358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310"/>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3090"/>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648"/>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766"/>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This table shows 38 of the 85 analytic cells, those covering the principal comparisons; the rest, chiefly the other receptor-defined subtypes and the age-specific comparisons, are in Supplementary Table 4.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throughout; comparisons are versus non-Hispanic White (NHW) women. † the study's reference was an unstratified White group (not stratified by Hispanic origin), examined in the NHW-comparator sensitivity analysis (Supplementary Table 6c); 5 of the 19 cells so marked appear in this table.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1080" w:right="1080" w:bottom="1080" w:left="108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Figures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r>
        <w:br w:type="page"/>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120" w:line="260"/>
      </w:pPr>
      <w:r>
        <w:rPr>
          <w:rFonts w:ascii="Malgun Gothic" w:cs="Malgun Gothic" w:eastAsia="Malgun Gothic" w:hAnsi="Malgun Gothic"/>
          <w:i/>
          <w:iCs/>
          <w:sz w:val="16"/>
          <w:szCs w:val="16"/>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2026-09-23T10:32:46.190Z</dcterms:created>
  <dcterms:modified xsi:type="dcterms:W3CDTF">2026-09-23T10:32:46.190Z</dcterms:modified>
</cp:coreProperties>
</file>

<file path=docProps/custom.xml><?xml version="1.0" encoding="utf-8"?>
<Properties xmlns="http://schemas.openxmlformats.org/officeDocument/2006/custom-properties" xmlns:vt="http://schemas.openxmlformats.org/officeDocument/2006/docPropsVTypes"/>
</file>