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Berdahl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Nihiseah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0.848 [0.839, 0.858]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Wu 2004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1.263 [1.206, 1.323]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Kohler 2015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Jemal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ANTR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Berdahl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Scott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Amirikia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Chen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Clegg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Sangaramoorthy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Nihiseah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Howe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Wu 2004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(0.58-0.827)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(0.7-0.903)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(0.902-0.969)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(0.707-0.762)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(0.045-12.907)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(0.932-0.973)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(0.001-204.26)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(0.651-0.697)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(0.983-1.585)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(0.344-1.6)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(1.373-2.929)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(0.51-1.58)</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Sensitivity IRR = all k estimates pooled with a Paule-Mandel τ² and a Hartung-Knapp-Sidik-Jonkman confidence interval. I² is the sensitivity (all-included) value; the very high I² reflects repeated inclusion of non-independent, overlapping registry data rather than genuine between-study heterogeneity. Main IRR = the single one-per-registry-family representative, which removes that non-independence. For cells with k &lt; 3 the HKSJ interval (t-distribution with k−1 df) is unstable and over-wide, so the point estimate should be read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(0.602-0.797)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0.0299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(0.605-0.793)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0.580-0.827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(0.732-0.864)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(0.727-0.870)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0.700-0.903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0.934 (0.912-0.957)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(0.907-0.963)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0.0018</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0.902-0.969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(0.712-0.756)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(0.715-0.753)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0.707-0.762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0.045-12.907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0.001-204.260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0.983-1.585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(0.659-0.836)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(0.659-0.836)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0.344-1.600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(1.892-2.126)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(1.892-2.126)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1.373-2.929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(0.823-0.980)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(0.823-0.980)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0.510-1.580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r>
    </w:tbl>
    <w:p>
      <w:pPr>
        <w:spacing w:after="80"/>
      </w:pPr>
    </w:p>
    <w:p>
      <w:pPr>
        <w:spacing w:after="80"/>
      </w:pPr>
      <w:r>
        <w:rPr>
          <w:rFonts w:ascii="Malgun Gothic" w:cs="Malgun Gothic" w:eastAsia="Malgun Gothic" w:hAnsi="Malgun Gothic"/>
          <w:i/>
          <w:iCs/>
          <w:sz w:val="18"/>
          <w:szCs w:val="18"/>
        </w:rPr>
        <w:t xml:space="preserve">Across the four cells with ≥3 estimates (Black, Hispanic, Asian/Pacific Islander, American Indian/Alaska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(Kohler 2015,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Point estimates only — no CI (a proper CI needs age-specific variance</w:t>
      </w:r>
    </w:p>
    <w:p>
      <w:pPr>
        <w:spacing w:after="80"/>
      </w:pPr>
      <w:r>
        <w:rPr>
          <w:rFonts w:ascii="Malgun Gothic" w:cs="Malgun Gothic" w:eastAsia="Malgun Gothic" w:hAnsi="Malgun Gothic"/>
          <w:i w:val="false"/>
          <w:iCs w:val="false"/>
          <w:sz w:val="18"/>
          <w:szCs w:val="18"/>
        </w:rPr>
        <w:t xml:space="preserve">• propagation, not attempted). Provenance = `computed-from-rates`.</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Jemal 2024, Sung 2026, Sangaramoorthy 2022, Ellington 2022, Pinheiro 2009, Wu 2004, Miller 2008.</w:t>
      </w:r>
    </w:p>
    <w:p>
      <w:pPr>
        <w:spacing w:after="80"/>
      </w:pPr>
      <w:r>
        <w:rPr>
          <w:rFonts w:ascii="Malgun Gothic" w:cs="Malgun Gothic" w:eastAsia="Malgun Gothic" w:hAnsi="Malgun Gothic"/>
          <w:i w:val="false"/>
          <w:iCs w:val="false"/>
          <w:sz w:val="18"/>
          <w:szCs w:val="18"/>
        </w:rPr>
        <w:t xml:space="preserve">• point only (no CI): Kohler 2015, Liu 2012, Anderson 2008, Keegan 2010, MMWR 2016, Lund 2010,</w:t>
      </w:r>
    </w:p>
    <w:p>
      <w:pPr>
        <w:spacing w:after="80"/>
      </w:pPr>
      <w:r>
        <w:rPr>
          <w:rFonts w:ascii="Malgun Gothic" w:cs="Malgun Gothic" w:eastAsia="Malgun Gothic" w:hAnsi="Malgun Gothic"/>
          <w:i w:val="false"/>
          <w:iCs w:val="false"/>
          <w:sz w:val="18"/>
          <w:szCs w:val="18"/>
        </w:rPr>
        <w:t xml:space="preserve">• Gomez 2007, Clegg 2009, Gopalani 2020, McCracken 2007.</w:t>
      </w:r>
    </w:p>
    <w:p>
      <w:pPr>
        <w:spacing w:after="80"/>
      </w:pPr>
      <w:r>
        <w:rPr>
          <w:rFonts w:ascii="Malgun Gothic" w:cs="Malgun Gothic" w:eastAsia="Malgun Gothic" w:hAnsi="Malgun Gothic"/>
          <w:i w:val="false"/>
          <w:iCs w:val="false"/>
          <w:sz w:val="18"/>
          <w:szCs w:val="18"/>
        </w:rPr>
        <w:t xml:space="preserve">• Elaborated elsewhere: (§1), Sung 2026 &amp; (§4).</w:t>
      </w:r>
    </w:p>
    <w:p>
      <w:pPr>
        <w:spacing w:after="80"/>
      </w:pPr>
      <w:r>
        <w:rPr>
          <w:rFonts w:ascii="Malgun Gothic" w:cs="Malgun Gothic" w:eastAsia="Malgun Gothic" w:hAnsi="Malgun Gothic"/>
          <w:i w:val="false"/>
          <w:iCs w:val="false"/>
          <w:sz w:val="18"/>
          <w:szCs w:val="18"/>
        </w:rPr>
        <w:t xml:space="preserve">• Jemal 2024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MMWR 2016 use "White"/"Black" not NH-stratified (MMWR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Anderson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(Sung 2026). Reports disaggregated AANHPI rates but no numeric NHW.</w:t>
      </w:r>
    </w:p>
    <w:p>
      <w:pPr>
        <w:spacing w:after="80"/>
      </w:pPr>
      <w:r>
        <w:rPr>
          <w:rFonts w:ascii="Malgun Gothic" w:cs="Malgun Gothic" w:eastAsia="Malgun Gothic" w:hAnsi="Malgun Gothic"/>
          <w:i w:val="false"/>
          <w:iCs w:val="false"/>
          <w:sz w:val="18"/>
          <w:szCs w:val="18"/>
        </w:rPr>
        <w:t xml:space="preserve">• Paired with the SEER-Explorer NHW female-breast rate, same submission</w:t>
      </w:r>
    </w:p>
    <w:p>
      <w:pPr>
        <w:spacing w:after="80"/>
      </w:pPr>
      <w:r>
        <w:rPr>
          <w:rFonts w:ascii="Malgun Gothic" w:cs="Malgun Gothic" w:eastAsia="Malgun Gothic" w:hAnsi="Malgun Gothic"/>
          <w:i w:val="false"/>
          <w:iCs w:val="false"/>
          <w:sz w:val="18"/>
          <w:szCs w:val="18"/>
        </w:rPr>
        <w:t xml:space="preserve">• (Nov 2025), same registry set (SEER-21), same standard (2000 US), same</w:t>
      </w:r>
    </w:p>
    <w:p>
      <w:pPr>
        <w:spacing w:after="80"/>
      </w:pPr>
      <w:r>
        <w:rPr>
          <w:rFonts w:ascii="Malgun Gothic" w:cs="Malgun Gothic" w:eastAsia="Malgun Gothic" w:hAnsi="Malgun Gothic"/>
          <w:i w:val="false"/>
          <w:iCs w:val="false"/>
          <w:sz w:val="18"/>
          <w:szCs w:val="18"/>
        </w:rPr>
        <w:t xml:space="preserve">• period-window handling (non-delay-adjusted, 2018–2022 mean = 140.3). Documented;</w:t>
      </w:r>
    </w:p>
    <w:p>
      <w:pPr>
        <w:spacing w:after="80"/>
      </w:pPr>
      <w:r>
        <w:rPr>
          <w:rFonts w:ascii="Malgun Gothic" w:cs="Malgun Gothic" w:eastAsia="Malgun Gothic" w:hAnsi="Malgun Gothic"/>
          <w:i w:val="false"/>
          <w:iCs w:val="false"/>
          <w:sz w:val="18"/>
          <w:szCs w:val="18"/>
        </w:rPr>
        <w:t xml:space="preserve">• the 2019–2023 pooled value (141.3) agrees as a sensitivity check.</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(ANTR 2021,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ANTR 2021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Howe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Sung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Kohler 2015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pStyle w:val="Heading1"/>
        <w:spacing w:after="100" w:before="200"/>
      </w:pPr>
      <w:r>
        <w:rPr>
          <w:rFonts w:ascii="Malgun Gothic" w:cs="Malgun Gothic" w:eastAsia="Malgun Gothic" w:hAnsi="Malgun Gothic"/>
          <w:b/>
          <w:bCs/>
          <w:sz w:val="24"/>
          <w:szCs w:val="24"/>
        </w:rPr>
        <w:t xml:space="preserve">Supplementary Figure 1. PRISMA 2020 flow diagram</w:t>
      </w:r>
    </w:p>
    <w:p>
      <w:pPr>
        <w:jc w:val="center"/>
      </w:pPr>
      <w:r>
        <w:drawing>
          <wp:inline distT="0" distB="0" distL="0" distR="0">
            <wp:extent cx="72390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239000" cy="6096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Forest plot — disaggregated Asian/NHPI subgroups</w:t>
      </w:r>
    </w:p>
    <w:p>
      <w:pPr>
        <w:jc w:val="center"/>
      </w:pPr>
      <w:r>
        <w:drawing>
          <wp:inline distT="0" distB="0" distL="0" distR="0">
            <wp:extent cx="85725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0" cy="6096000"/>
                    </a:xfrm>
                    <a:prstGeom prst="rect">
                      <a:avLst/>
                    </a:prstGeom>
                  </pic:spPr>
                </pic:pic>
              </a:graphicData>
            </a:graphic>
          </wp:inline>
        </w:drawing>
      </w:r>
    </w:p>
    <w:p>
      <w:pPr>
        <w:spacing w:after="80"/>
      </w:pPr>
    </w:p>
    <w:p>
      <w:pPr>
        <w:pStyle w:val="Heading1"/>
        <w:spacing w:after="100" w:before="200"/>
      </w:pPr>
      <w:r>
        <w:rPr>
          <w:rFonts w:ascii="Malgun Gothic" w:cs="Malgun Gothic" w:eastAsia="Malgun Gothic" w:hAnsi="Malgun Gothic"/>
          <w:b/>
          <w:bCs/>
          <w:sz w:val="24"/>
          <w:szCs w:val="24"/>
        </w:rPr>
        <w:t xml:space="preserve">Supplementary Figure 3. Forest plot — aggregate groups, Hispanic origin, AI/AN region, MENA</w:t>
      </w:r>
    </w:p>
    <w:p>
      <w:pPr>
        <w:jc w:val="center"/>
      </w:pPr>
      <w:r>
        <w:drawing>
          <wp:inline distT="0" distB="0" distL="0" distR="0">
            <wp:extent cx="85725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00" cy="5334000"/>
                    </a:xfrm>
                    <a:prstGeom prst="rect">
                      <a:avLst/>
                    </a:prstGeom>
                  </pic:spPr>
                </pic:pic>
              </a:graphicData>
            </a:graphic>
          </wp:inline>
        </w:drawing>
      </w:r>
    </w:p>
    <w:p>
      <w:pPr>
        <w:spacing w:after="80"/>
      </w:pP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799407556ee3aac28cdd7ff9e52590db3041be38.png"/><Relationship Id="rId9" Type="http://schemas.openxmlformats.org/officeDocument/2006/relationships/image" Target="media/609dad81c30f2ada3a43c8d474971a1eee402d6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2026-08-15T02:51:26.288Z</dcterms:created>
  <dcterms:modified xsi:type="dcterms:W3CDTF">2026-08-15T02:51:26.289Z</dcterms:modified>
</cp:coreProperties>
</file>

<file path=docProps/custom.xml><?xml version="1.0" encoding="utf-8"?>
<Properties xmlns="http://schemas.openxmlformats.org/officeDocument/2006/custom-properties" xmlns:vt="http://schemas.openxmlformats.org/officeDocument/2006/docPropsVTypes"/>
</file>