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in image-only tables were not missed; four reports first placed in the narrative set were thereby moved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2026-09-12T02:18:30.714Z</dcterms:created>
  <dcterms:modified xsi:type="dcterms:W3CDTF">2026-09-12T02:18:30.714Z</dcterms:modified>
</cp:coreProperties>
</file>

<file path=docProps/custom.xml><?xml version="1.0" encoding="utf-8"?>
<Properties xmlns="http://schemas.openxmlformats.org/officeDocument/2006/custom-properties" xmlns:vt="http://schemas.openxmlformats.org/officeDocument/2006/docPropsVTypes"/>
</file>