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73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An all-Hispanic multi-state estimate;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of the USCS-national representative (Ellington 2022, 0.72), and overlaps Wilkinson 2002</w:t>
      </w:r>
    </w:p>
    <w:p>
      <w:pPr>
        <w:spacing w:after="80"/>
      </w:pPr>
      <w:r>
        <w:rPr>
          <w:rFonts w:ascii="Malgun Gothic" w:cs="Malgun Gothic" w:eastAsia="Malgun Gothic" w:hAnsi="Malgun Gothic"/>
          <w:i w:val="false"/>
          <w:iCs w:val="false"/>
          <w:sz w:val="18"/>
          <w:szCs w:val="18"/>
        </w:rPr>
        <w:t xml:space="preserve">• (Miami Hispanic).</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 Table 2 prints</w:t>
      </w:r>
    </w:p>
    <w:p>
      <w:pPr>
        <w:spacing w:after="80"/>
      </w:pPr>
      <w:r>
        <w:rPr>
          <w:rFonts w:ascii="Malgun Gothic" w:cs="Malgun Gothic" w:eastAsia="Malgun Gothic" w:hAnsi="Malgun Gothic"/>
          <w:i w:val="false"/>
          <w:iCs w:val="false"/>
          <w:sz w:val="18"/>
          <w:szCs w:val="18"/>
        </w:rPr>
        <w:t xml:space="preserve">• all-ages age-standardized (2000 US) breast rates: AI/AN 134.6, NHW 149.3 (printed RR 0.9).</w:t>
      </w:r>
    </w:p>
    <w:p>
      <w:pPr>
        <w:spacing w:after="80"/>
      </w:pPr>
      <w:r>
        <w:rPr>
          <w:rFonts w:ascii="Malgun Gothic" w:cs="Malgun Gothic" w:eastAsia="Malgun Gothic" w:hAnsi="Malgun Gothic"/>
          <w:i w:val="false"/>
          <w:iCs w:val="false"/>
          <w:sz w:val="18"/>
          <w:szCs w:val="18"/>
        </w:rPr>
        <w:t xml:space="preserve">• IRR = 134.6/149.3 = 0.902, point estimate only (no rate confidence intervals reported). These</w:t>
      </w:r>
    </w:p>
    <w:p>
      <w:pPr>
        <w:spacing w:after="80"/>
      </w:pPr>
      <w:r>
        <w:rPr>
          <w:rFonts w:ascii="Malgun Gothic" w:cs="Malgun Gothic" w:eastAsia="Malgun Gothic" w:hAnsi="Malgun Gothic"/>
          <w:i w:val="false"/>
          <w:iCs w:val="false"/>
          <w:sz w:val="18"/>
          <w:szCs w:val="18"/>
        </w:rPr>
        <w:t xml:space="preserve">• NE/ND/SD registries are the only Northern-Plains source in the ledger, so this is the</w:t>
      </w:r>
    </w:p>
    <w:p>
      <w:pPr>
        <w:spacing w:after="80"/>
      </w:pPr>
      <w:r>
        <w:rPr>
          <w:rFonts w:ascii="Malgun Gothic" w:cs="Malgun Gothic" w:eastAsia="Malgun Gothic" w:hAnsi="Malgun Gothic"/>
          <w:i w:val="false"/>
          <w:iCs w:val="false"/>
          <w:sz w:val="18"/>
          <w:szCs w:val="18"/>
        </w:rPr>
        <w:t xml:space="preserve">• Northern-Plains cell representative; because unlinked state registries undercount AI/AN, the row</w:t>
      </w:r>
    </w:p>
    <w:p>
      <w:pPr>
        <w:spacing w:after="80"/>
      </w:pPr>
      <w:r>
        <w:rPr>
          <w:rFonts w:ascii="Malgun Gothic" w:cs="Malgun Gothic" w:eastAsia="Malgun Gothic" w:hAnsi="Malgun Gothic"/>
          <w:i w:val="false"/>
          <w:iCs w:val="false"/>
          <w:sz w:val="18"/>
          <w:szCs w:val="18"/>
        </w:rPr>
        <w:t xml:space="preserve">• is flagged as undercount-prone.</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2026-09-06T11:04:40.893Z</dcterms:created>
  <dcterms:modified xsi:type="dcterms:W3CDTF">2026-09-06T11:04:40.894Z</dcterms:modified>
</cp:coreProperties>
</file>

<file path=docProps/custom.xml><?xml version="1.0" encoding="utf-8"?>
<Properties xmlns="http://schemas.openxmlformats.org/officeDocument/2006/custom-properties" xmlns:vt="http://schemas.openxmlformats.org/officeDocument/2006/docPropsVTypes"/>
</file>