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non-Hispanic White (NHW) comparison formed the quantitative synthesis and the rest the narrative synthesis. Because these registries overlap, one representative estimate per group and dimension was selected, not pooled. Each estimate was an incidence rate ratio (IRR) versus an NHW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used only in the sensitivity analysis,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56 of 74 cell representatives unchanged, with the 8 changed and 10 dropped cells concentrated in the disaggregated AANHPI subgroups; restricting to directly reported estimates left 35 unchanged (6 changed, 33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gave way to the external-NHW sensitivity estimate.</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In the Northern Plains, for example, unlinked state registries placed AI/AN breast incidence at a rate ratio of 0.90 relative to NHW women, whereas the IHS-linked estimate for the same region placed it at 1.33—the comparison reversing direction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2026-09-05T12:24:31.824Z</dcterms:created>
  <dcterms:modified xsi:type="dcterms:W3CDTF">2026-09-05T12:24:31.824Z</dcterms:modified>
</cp:coreProperties>
</file>

<file path=docProps/custom.xml><?xml version="1.0" encoding="utf-8"?>
<Properties xmlns="http://schemas.openxmlformats.org/officeDocument/2006/custom-properties" xmlns:vt="http://schemas.openxmlformats.org/officeDocument/2006/docPropsVTypes"/>
</file>