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(external comparator)” = an estimate that borrows an out-of-paper reference (a SEER-Explorer non-Hispanic White rate), retained only in the sensitivity analysis;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56 of 74 cells unchanged, 8 changed, 10 dropped. The changed and dropped cells were concentrated in the disaggregated AANHPI subgroups (with a few age-specific and Middle Eastern cells), whose representatives are computed estimates from moderate-risk-of-bias sources; the aggregate and regional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74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Representative for the Hispanic/Latina origin-analysis aggregate; overlaps Wilkinson 2002 (Miami</w:t>
      </w:r>
    </w:p>
    <w:p>
      <w:pPr>
        <w:spacing w:after="80"/>
      </w:pPr>
      <w:r>
        <w:rPr>
          <w:rFonts w:ascii="Malgun Gothic" w:cs="Malgun Gothic" w:eastAsia="Malgun Gothic" w:hAnsi="Malgun Gothic"/>
          <w:i w:val="false"/>
          <w:iCs w:val="false"/>
          <w:sz w:val="18"/>
          <w:szCs w:val="18"/>
        </w:rPr>
        <w:t xml:space="preserve">• Hispanic, sensitivity).</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six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2026-09-05T12:24:32.316Z</dcterms:created>
  <dcterms:modified xsi:type="dcterms:W3CDTF">2026-09-05T12:24:32.317Z</dcterms:modified>
</cp:coreProperties>
</file>

<file path=docProps/custom.xml><?xml version="1.0" encoding="utf-8"?>
<Properties xmlns="http://schemas.openxmlformats.org/officeDocument/2006/custom-properties" xmlns:vt="http://schemas.openxmlformats.org/officeDocument/2006/docPropsVTypes"/>
</file>