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Subgroup-level surveillance, with linkage-based counting of AI/AN cases, would better identify the highest-incidence populations.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the clearest case.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the aggregate rate is also shaped by how race is recorded: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scattered rather than assembled.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every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emphasizes the racial and ethnic disparities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Every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every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(145 individual estimates across racial/ethnic groups and analytic dimensions)²⁻⁹,¹¹⁻¹²,¹⁵⁻⁴⁷—and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analytic cells (racial or ethnic group × analytic dimension) remained for the main analysis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their findings were generally in the same direction as the quantitative results—lower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stable across three checks (Supplementary Table 6). Restricting to low-risk-of-bias studies left 67 of 85 cell representatives unchanged (5 changed, 13 dropped);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described how aggregated Asian American data can hide substantial subgroup differences;⁵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scattered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For surveillance and clinical practice, these results suggest that reporting incidence only at the aggregate level can understate risk in subgroups whose incidence is at or above that of NHW women, including Native Hawaiian women, several AI/AN regional populations, and NHB women for TNBC. Disaggregated reporting, where sample sizes allow, would give a more accurate basis for characterizing incidence across these subgroups. For AI/AN populations specifically, surveillance based on registry–Indian Health Service linkage would help avoid undercounting. Stable estimates for the smallest subgroups would benefit from larger or linked data sources and more consistent standardization across registries and diagnosis periods.</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Registry overlap and the undercounting of AI/AN populations warrant attention when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2026-08-19T09:31:58.198Z</dcterms:created>
  <dcterms:modified xsi:type="dcterms:W3CDTF">2026-08-19T09:31:58.198Z</dcterms:modified>
</cp:coreProperties>
</file>

<file path=docProps/custom.xml><?xml version="1.0" encoding="utf-8"?>
<Properties xmlns="http://schemas.openxmlformats.org/officeDocument/2006/custom-properties" xmlns:vt="http://schemas.openxmlformats.org/officeDocument/2006/docPropsVTypes"/>
</file>