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model-excluded records was re-screened (reproducible seed)—each title, its recorded exclusion reason, and, where the record concerned breast cancer incidence by race, its abstract and full text—and the whole excluded set was then scanned for the signature this sample revealed. The audit identified three wrongly excluded studies, all neighborhood- or segregation-focused reports that nonetheless tabulated race-specific incidence; each was added to the quantitative synthesis as a single-state or regional overlap, and none changed a cell representative. The full audit, with the records checked and the reasons retained, is in Supplementary Note 2.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(distinct from the nine reports not retrieved at all). The model assisted data extraction and cross-checked each extracted value against its source, and every included estimate was verified by the author against the source table, figure, or text; this verification moved four reports first placed in the narrative set to the quantitative synthesis (Supplementary Note 2), all contributing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applied to each of the 55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246 reports; 9 could not be retrieved, and of the 237 assessed, 71 were excluded (reasons in Supplementary Table 3), giving 166 included studies (Figure 1). Of these, 55 were eligible for quantitative synthesis and entered the analysis, contributing 206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the 2000 U.S. standard population changed little: 81 of the 83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 Restricting to low-risk-of-bias studies left 62 of 83 cell representatives unchanged, with the 11 changed and 10 dropped cells falling mainly among the disaggregated AANHPI subgroups and, in smaller numbers, the receptor-subtype, age-specific, and Middle Eastern cells; restricting to directly reported estimates left 31 unchanged (5 changed, 47 dropped); restricting to NHW-comparator estimates left 64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arranges aggregate and subgroup results on one axis for comparison—though the estimates are not fully commensurable, for the reasons set out under the limitations below, and the arrangement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because the cells are drawn from different studies, differences in standard population, underlying age structure, registry region, and diagnosis period remain embedded in the ratios and are not cancelled by the common comparator. A ratio removes the shared standard-population scaling only when its numerator and denominator come from the same source and standardization—which holds within each cell but not across cells. Diagnosis period and registry region differed across cells and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(36 of the 83 analytic cells) from those resting on a single study (47), and it shows where independent sources agree—most cells—and where they diverge, chiefly the near-null AANHPI subgroups and the ascertainment-dependent AI/AN comparison noted above. Reviewing the studies jointly rather than singly therefore confirmed something no individual report, confined to its own registry and period, could establish: that the wide within-aggregate heterogeneity is reproducible across independent registries, stable under the sensitivity restrictions, and concordant with the earlier single-population studies it draws together—so the pattern reflects real differences rather than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standard population, period, and region, these estimates are best read as a comparable-scale summary of the available evidence rather than as mutually calibrated rates, with the provenance and comparator of each estimate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02d09de366b498f4c165925784aed568ecb4b.png"/><Relationship Id="rId8" Type="http://schemas.openxmlformats.org/officeDocument/2006/relationships/image" Target="media/784963a3021af25b050f7127d7dc51e7d721feff.png"/><Relationship Id="rId9" Type="http://schemas.openxmlformats.org/officeDocument/2006/relationships/image" Target="media/d1eb7530e6a39cf9939b6c538f1d1de237d8c35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2026-09-12T09:51:45.042Z</dcterms:created>
  <dcterms:modified xsi:type="dcterms:W3CDTF">2026-09-12T09:51:45.042Z</dcterms:modified>
</cp:coreProperties>
</file>

<file path=docProps/custom.xml><?xml version="1.0" encoding="utf-8"?>
<Properties xmlns="http://schemas.openxmlformats.org/officeDocument/2006/custom-properties" xmlns:vt="http://schemas.openxmlformats.org/officeDocument/2006/docPropsVTypes"/>
</file>