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with an explicit keyword filter and re-read at the full abstract; because a relaxed four-of-five-signal threshold recovered studies that stated a needed term only in a table rather than the abstract—one giving race-specific rates without an explicit rate term, and one without an explicit U.S. term—the residual risk of a missed study is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shows that the wide within-aggregate heterogeneity is reproducible across independent registries and stable under the sensitivity restrictions, so the pattern does not depend on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2026-09-18T07:58:16.827Z</dcterms:created>
  <dcterms:modified xsi:type="dcterms:W3CDTF">2026-09-18T07:58:16.827Z</dcterms:modified>
</cp:coreProperties>
</file>

<file path=docProps/custom.xml><?xml version="1.0" encoding="utf-8"?>
<Properties xmlns="http://schemas.openxmlformats.org/officeDocument/2006/custom-properties" xmlns:vt="http://schemas.openxmlformats.org/officeDocument/2006/docPropsVTypes"/>
</file>