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“Synthesis” shows how each contributed: quantitative = eligible for quantitative synthesis (n = 48, of which 43 provided extractable quantitative data); narrative = narrative synthesis only (n = 115). Study design is classified from the data source; most included studies are population-based registry/incidence studies rather than cohort studies.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721"/>
        <w:gridCol w:w="3069"/>
        <w:gridCol w:w="2479"/>
        <w:gridCol w:w="2597"/>
        <w:gridCol w:w="1534"/>
      </w:tblGrid>
      <w:tr>
        <w:trPr>
          <w:tblHeader/>
        </w:trPr>
        <w:tc>
          <w:tcPr>
            <w:tcW w:type="dxa" w:w="472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0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59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3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Studies that stratified the reference by Hispanic origin are shown as non-Hispanic White (NHW); a minority of studies used an unstratified White reference, shown as “White (not NH-stratified)” rather than relabelled as NHW. These are not simply older reports (they span 2008–2020, and NHW is used from the earliest studies onward); they are concentrated in specific analyses — receptor-defined subtypes, male breast cancer, and AI/AN (IHS-linked) comparisons — where the source did not stratify the White reference by Hispanic origin. All comparisons are within a single U.S. registry frame, so the reference rate and the minority rate come from the same source, period, and standard population — the incidence rate ratio is therefore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(Davis Lynn 2025, Segi world, in two Black-subtype cells; a few sensitivity-only estimates on the 1970 world or other standards). Because the rate ratio is formed within each study, the standard population largely cancels; the few non-2000 estimates are flagged in the “Std pop” column. For the two Black receptor-defined subtype cells (HR+/HER2− and HR−/HER2+) no single study offered both an NHW comparator and the 2000 U.S. standard: the representative (Davis Lynn 2025) has an NHW comparator but the Segi world standard, while the alternative (Gleason 2012) has the 2000 U.S. standard but an unstratified White comparator — the NHW comparator was prioritized.</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67 of 85 cells unchanged, 5 changed, 13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46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57 of 85 cells unchanged, 2 changed, 26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2026-08-18T06:14:00.280Z</dcterms:created>
  <dcterms:modified xsi:type="dcterms:W3CDTF">2026-08-18T06:14:00.280Z</dcterms:modified>
</cp:coreProperties>
</file>

<file path=docProps/custom.xml><?xml version="1.0" encoding="utf-8"?>
<Properties xmlns="http://schemas.openxmlformats.org/officeDocument/2006/custom-properties" xmlns:vt="http://schemas.openxmlformats.org/officeDocument/2006/docPropsVTypes"/>
</file>