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and Meta-analysis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0.50 (Mexican) to 0.82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Subgroup-level surveillance, with linkage-based counting of AI/AN cases, would better identify the highest-incidence populations.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death.¹ Its rates are not the same across racial and ethnic groups. In the American Cancer Society's 2024 report, non-Hispanic Black (NHB) women had breast cancer incidence about 5% lower than non-Hispanic White (NHW) women but 38% higher mortality.¹ NHB women also have the highest rate of triple-negative breast cancer (TNBC),² and their tumors, like those in several other minority groups, are diagnosed at younger ages than in NHW women.³ Differences of this kind have been linked to the distribution of molecular subtypes and to stage at diagnosis, screening, and access to care.²,⁴</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the clearest case. Treated as one population its incidence sits well below that of NHW women, but that single number covers a wide spread. Using California data, Gomez and colleagues⁵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Hmong,⁶ and rates differ again across the individual Asian ethnicities followed over time.⁷ Hispanic/Latina women are not one group either: incidence differs by country of origin,⁸ and origin-specific rates have been reported for Hispanic women in California.⁹ For AI/AN women, the aggregate rate is also shaped by how race is recorded: central registries that assign race by observation misclassify many AI/AN cases as non-Native, which understates their rates. Espey and colleagues¹⁰ corrected this by linking registry records to Indian Health Service (IHS) enrollment, and the corrected rates were highest in the Northern and Southern Plains and in Alaska, where cancer in Alaska Native women has been tracked in dedicated registries.¹¹,¹² Subtype rearranges the order once more: NHW women have the highest rate of HR+/HER2− disease while NHB women have the highest rate of TNBC,²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scattered rather than assembled.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statement.¹³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every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data,¹⁴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emphasizes the racial and ethnic disparities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Every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every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synthesis—43 of which provided extractable estimates (144 estimates in total)²⁻⁹,¹¹⁻¹²,¹⁵⁻⁴⁷—and the remaining 115 were included in the narrative synthesis (163 = 48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85 analytic cells (racial or ethnic group × analytic dimension) remained for the main analysis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spanning Cambodian 0.26, Laotian 0.39, Vietnamese 0.59, Korean 0.68, Chinese 0.76, Filipina 0.86, and Asian Indian/Pakistani 0.96;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0.50 (0.38–0.67), New Latino 0.68 (0.62–0.76), Cuban 0.76 (0.68–0.84), and Puerto Rican 0.82 (0.73–0.92);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Male breast cancer</w:t>
      </w:r>
    </w:p>
    <w:p>
      <w:pPr>
        <w:spacing w:after="160" w:line="360"/>
      </w:pPr>
      <w:r>
        <w:rPr>
          <w:rFonts w:ascii="Times New Roman" w:cs="Times New Roman" w:eastAsia="Times New Roman" w:hAnsi="Times New Roman"/>
          <w:sz w:val="24"/>
          <w:szCs w:val="24"/>
        </w:rPr>
        <w:t xml:space="preserve">Among men, breast cancer incidence in Black men was 1.52 (1.44–1.60)† relative to White men (Table 1).</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studies not entered into the quantitative synthesis met the inclusion criteria but did not report an incidence rate ratio, or age-standardized rates, from which a comparison with a non-Hispanic White reference could be recovered; they are listed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their findings were generally in the same direction as the quantitative results—lower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stable across three checks (Supplementary Table 6). Restricting to low-risk-of-bias studies left 67 of 85 cell representatives unchanged (5 changed, 13 dropped); restricting to directly reported estimates left 46 unchanged (6 changed, 33 dropped); and restricting to NHW-comparator estimates left 57 unchanged (2 changed, 26 dropped), the dropped cells being those whose only representative used an unstratified White comparator — the receptor-defined subtypes, male breast cancer,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0.50 in Mexican women to 0.82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described how aggregated Asian American data can hide substantial subgroup differences;⁵ the present estimates span the full set of subgroups over the most recent SEER-21 period.²⁶ The high incidence observed in Native Hawaiian women echoes the heterogeneous burden reported in Hawaii,²¹ and the ordering of Hispanic subgroups—lower in Mexican and higher in Puerto Rican and Cuban women—reproduces the gradient described among first-generation U.S. Hispanics.⁸ The regional range across AI/AN populations, and the low rate in the Navajo area, are in line with prior regional and tribal analyses.¹⁰,³³,³⁷,⁴⁰ The higher TNBC incidence in NHB women is also concordant with prior subtype-specific work.²,²⁰ The contribution here is to bring these scattered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residence.⁵,⁹ Differences in the distribution of molecular subtypes and in stage at diagnosis, screening, and access to care have also been described and may contribute to the observed patterns.²,²⁸ For AI/AN populations, part of the apparent difference reflects a data issue rather than a difference in underlying risk: unlinked national registries misclassify race and undercount AI/AN cases, which is why Indian Health Service–linked estimates were preferred for this group.¹⁰,⁴⁰ The available data do not support attributing these differences to genetic ancestry or to a specific biological mechanism.</w:t>
      </w:r>
    </w:p>
    <w:p>
      <w:pPr>
        <w:spacing w:after="160" w:line="360"/>
      </w:pPr>
      <w:r>
        <w:rPr>
          <w:rFonts w:ascii="Times New Roman" w:cs="Times New Roman" w:eastAsia="Times New Roman" w:hAnsi="Times New Roman"/>
          <w:sz w:val="24"/>
          <w:szCs w:val="24"/>
        </w:rPr>
        <w:t xml:space="preserve">For surveillance and clinical practice, these results suggest that reporting incidence only at the aggregate level can understate risk in subgroups whose incidence is at or above that of NHW women, including Native Hawaiian women, several AI/AN regional populations, and NHB women for TNBC. Disaggregated reporting, where sample sizes allow, would give a more accurate basis for characterizing incidence across these subgroups. For AI/AN populations specifically, surveillance based on registry–Indian Health Service linkage would help avoid undercounting. Stable estimates for the smallest subgroups would benefit from larger or linked data sources and more consistent standardization across registries and diagnosis periods.</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receptor-defined subtypes, and male breast cancer;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rates, and a few used a fixed reference rate as the denominator (for example, the Florida Hispanic-origin estimates⁸) or an unstratified White comparator (the receptor-defined subtypes and male breast cancer),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Registry overlap and the undercounting of AI/AN populations warrant attention when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2026-08-19T09:29:27.494Z</dcterms:created>
  <dcterms:modified xsi:type="dcterms:W3CDTF">2026-08-19T09:29:27.495Z</dcterms:modified>
</cp:coreProperties>
</file>

<file path=docProps/custom.xml><?xml version="1.0" encoding="utf-8"?>
<Properties xmlns="http://schemas.openxmlformats.org/officeDocument/2006/custom-properties" xmlns:vt="http://schemas.openxmlformats.org/officeDocument/2006/docPropsVTypes"/>
</file>