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 formerly Contract Health Service Delivery Area, CHSDA)</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 error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176)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11 cells; overlap for 5</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indigenous people in Australia, New Zealand, Canada, and the USA: A comparative population-based study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IHS-CHSDA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26476758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changing incidence of in situ and invasive ductal and lobular breast carcinomas: United States, 1999-2004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(3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19454615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variations in breast and colorectal cancer incidence from 1995 to 2011: A comparative study between Texas Cancer Registry and National Cancer Institute's Surveillance, Epidemiology and End Results data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Texas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25672365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of inflammatory breast cancer between 1973 and 2015 in the SEER database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33033965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inflammatory breast cancer in women, 1992-2009, United States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24366421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breast cancer phenotypes in the Surveillance, Epidemiology, and End Results database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12408373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Adenoid cystic carcinoma of the breast in the United States (1977 to 2006): a  population-based cohort study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20653964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Carolina and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estrogen receptor status in the United States, 2004–2020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38985086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Cancer Incidence in Five Continents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composition and incidence of cancer among Hispanics in the United States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15672387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(South Carolina)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Underlying causes of the black-white racial disparity in breast cancer mortality: A population-based analysis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19584327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Community Health Study/Study of Latinos (HCHS/SOL)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Five Continents (CI5)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176 studies are included in the systematic review; not all entered the quantitative synthesis, and rows are grouped by contribution: 58 were eligible for quantitative synthesis and all provided extractable quantitative data that entered the analysis, and the remaining 118 contributed to the narrative synthesis only (176 = 58 + 118).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summarises, for each study, how it was used: “Representative for N cell(s)” — supplied the main-analysis benchmark for N analytic cells (group × dimension); “overlap for M” — also contributed M overlapping estimates kept only for the sensitivity re-selection; “Overlap/sensitivity only” — every estimate overlapped an already-represented cell. For the studies under “Narrative synthesis only” the column instead gives the reason no quantitative estimate was taken: the specific reason where the eligibility record states one (a recurring statistics series, an annual-trend-only report, a proportional incidence measure, values shown only in a figure, a socioeconomic rather than racial comparison, or a non-U.S. comparison group), otherwise the general reason that no NHW-referenced rate or ratio could be recovered. The cell-by-cell selection status and the reason each estimate was or was not chosen as the representative are given in Supplementary Table 4 (main-analysis column).</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Proportionate cancer incidence in the Laotian population of California, 1988-2006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U.S. military population: Comparison with rates from the SEER Program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Enclave Residence and Breast, Cervical, and Colorectal Cancer Incidence among Asian American Adults, 2006 to 2017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 [20]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New Mexico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[48]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 [41]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[58]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 [12]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 [32]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standard (IARC)</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1.14 [1.01,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[58]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 [33]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 [27]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 [33]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0.630 [0.622, 0.639]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[44]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 [50]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0.475 [0.458, 0.492]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 [26]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 [36]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0.826 [0.820, 0.832]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 [28]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 [43]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Texas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0.969 [0.934, 1.005]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[56]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 [63]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 [9]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 [47]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multi-registry subset (metropolitan areas)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 (indirect, US White reference)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[55]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 [57]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[61]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[46]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[35]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 [38]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[35]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 [59]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 (model-adjusted)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 [39]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 [38]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 [39]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This table lists every extracted estimate, not only the ones carried into the main analysis; the “Main analysis” column says which role each plays. Of the 222 rows, 85 are the representative selected for one analytic cell (group × dimension) — the broadest-coverage, most recent source with an appropriate population definition and standardization, a population-based estimate rather than a pooled one — and the remaining 137 are overlaps and demoted or anchor records. Excluding the 4 registry-direct anchor rows, which are reference values rather than screened studies, leaves the 218 extracted estimates reported in the text.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Study: the author and year, followed by the study's number in the reference list.</w:t>
      </w:r>
    </w:p>
    <w:p>
      <w:pPr>
        <w:spacing w:after="80"/>
      </w:pPr>
      <w:r>
        <w:rPr>
          <w:rFonts w:ascii="Malgun Gothic" w:cs="Malgun Gothic" w:eastAsia="Malgun Gothic" w:hAnsi="Malgun Gothic"/>
          <w:i/>
          <w:iCs/>
          <w:sz w:val="18"/>
          <w:szCs w:val="18"/>
        </w:rPr>
        <w:t xml:space="preserve">Registry family: SEER-national = the pooled SEER 9/13/17/18/21/22 registries; USCS = United States Cancer Statistics, which pools SEER and NPCR to cover nearly the entire U.S. population; NAACCR = the North American Association of Central Cancer Registries; NPCR = the National Program of Cancer Registries; IHS-PRCDA = an Indian Health Service Purchased/Referred Care Delivery Area linkage that improves ascertainment of AI/AN cases; ANTR = the Alaska Native Tumor Registry; California-CCR = the California Cancer Registry; and “State: X” = a single state central registry (for example, Texas, Louisiana, or Massachusetts).</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Each rate ratio is formed within one study, so its numerator and denominator share that study's standard population, period, and region and the ratio is internally consistent. The ratio does not, however, cancel the standard population — the age-specific rates of two groups differ in shape, so a different set of standard weights would shift their standardized rates, and their ratio, by different amounts — nor does it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rated No and both key items (Q7 measurement, Q8 analysis) rated Yes; High = three or more items rated No; Moderate otherwise—so a single No or Unclear on either key item gives at least a Moderate rating. Each study is appraised as the source of the estimates taken from it here rather than as a whole publication, and the items divide accordingly: Q1–Q7 describe the study and its registry (sample frame, ascertainment, case numbers, description, coverage, case identification, and race/ethnicity measurement) and are judged at that level, while Q8 depends on the estimates themselves and is judged on those extracted for this review, a variance counting as available when the source printed an interval or when one could be recovered from what the source reports. A study whose extracted estimates carry no interval therefore rates No on Q8 whether or not the source printed the ratio itself; that rating reflects incomplete reporting of uncertainty, not evidence that the estimate is biased. Of 58 studies assessed, 41 were Low, 17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54 of 85 cells unchanged, 19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 Miller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 — Nasseri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 IRR only (estimates the review computed from rates, and the single SIR, are dropped): 35 unchanged, 4 changed, 46 dropped — most disaggregated and subtype cells rely on computed rates, because registries publish rates rather than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 — Baquet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 — Sung 2020</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 Mills 2005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 Nash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 — Melkonian 2021</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The first value column is the representative estimate in the main analysis; the second is the representative re-selected after applying the restriction (low-risk-of-bias only in Table 6a; directly reported IRR only in Table 6b, where the SIR is excluded because it standardizes indirectly to the reference population; NHW-comparator only in Table 6c; 2000 U.S. standard population only in Table 6d). Each value is followed by the study that supplied it, so a changed cell shows both the study that is replaced and the study that replaces it. Status: unchanged = the same study remains the representative; changed = a different study becomes the representative; dropped = no estimate in that cell met the restriction. Every changed and dropped cell is listed; the cells not listed were unchanged. A dropped cell is not evidence that the main estimate is robust — the restriction leaves that cell untested, so dropped cells should be read as unexamined under that restriction rather than as confirmation.</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essentially unaffected by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Eheman 2009, Liu 2015,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Eheman 2009 (Eheman 2009, NPCR+SEER, 44 states + DC, 1999–2004). Table 5 prints age-standardized (2000 US) total invasive lobular/ductal/mixed breast IR with 95% CIs by race, White 108.1 [107.9–108.3]: Black 89.3/108.1 = 0.826 [0.820, 0.832], Asian/PI 51.3/108.1 = 0.475 [0.458, 0.492], AI/AN 68.1/108.1 = 0.630 [0.622, 0.639] (delta method). Comparator is unstratified White; a national estimate over the ductal/lobular/mixed subset (~87% of invasive breast), each entering its aggregate-vs-NHW cell as a sensitivity overlap of the USCS-national representative (Ellington 2022), which it does not displace (lower coverage, unstratified comparator, older period).</w:t>
      </w:r>
    </w:p>
    <w:p>
      <w:pPr>
        <w:spacing w:after="80"/>
        <w:ind w:left="360" w:hanging="180"/>
      </w:pPr>
      <w:r>
        <w:rPr>
          <w:rFonts w:ascii="Malgun Gothic" w:cs="Malgun Gothic" w:eastAsia="Malgun Gothic" w:hAnsi="Malgun Gothic"/>
          <w:i w:val="false"/>
          <w:iCs w:val="false"/>
          <w:sz w:val="18"/>
          <w:szCs w:val="18"/>
        </w:rPr>
        <w:t xml:space="preserve">•  Liu 2015 (Liu 2015, Texas Cancer Registry, 1995–2011). Table II prints age-adjusted (2000 US) breast IR with 95% CIs, White 136.14 [131.91–140.37], Black 131.90 [129.40–134.40]: Black/White = 0.969 [0.934, 1.005] (delta method). Comparator is unstratified White; the paper's own stage/grade-adjusted incidence ratio is 0.98 [0.97, 0.99]. A single-state estimate entering the Black aggregate-vs-NHW cell as a sensitivity overlap of the national representative.</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Source states the US 2000 standard (incidence-table footnote: "Rates are age adjusted to the US 2000 population standards").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comparison for Black women is printed the other way round — "non-Hispanic White women was 31.3 …, which was higher compared with the incidence among Black women (IRR, 1.04; 95% CI, 1.02–1.05)" — whereas the same paragraph gives the paper's other aggregates as minority-vs-NHW (Asian/PI 0.90, AI/AN 0.82, Hispanic 0.79). That row is therefore inverted to Black/NHW 0.96 [0.95, 0.98] so its direction matches both the review's scale and the paper's own other aggregates; provenance `directly-reported-IRR-inverted`.</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sectPr>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2026-09-23T09:53:04.257Z</dcterms:created>
  <dcterms:modified xsi:type="dcterms:W3CDTF">2026-09-23T09:53:04.258Z</dcterms:modified>
</cp:coreProperties>
</file>

<file path=docProps/custom.xml><?xml version="1.0" encoding="utf-8"?>
<Properties xmlns="http://schemas.openxmlformats.org/officeDocument/2006/custom-properties" xmlns:vt="http://schemas.openxmlformats.org/officeDocument/2006/docPropsVTypes"/>
</file>