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I tested whether these aggregates obscure disparities visible only after disaggregation by ethnicity, molecular subtype, and age.</w:t>
      </w:r>
    </w:p>
    <w:p>
      <w:r>
        <w:rPr>
          <w:b/>
        </w:rPr>
        <w:t>Methods.</w:t>
      </w:r>
      <w:r>
        <w:t xml:space="preserve"> I searched PubMed and Embase (through 11 July 2026) for US population-based studies reporting age-adjusted invasive female breast cancer incidence by race/ethnicity versus NHW. After deduplication (n = 941) and two-stage screening, 27 studies were included and 13 entered quantitative synthesis. Within-study incidence rate ratios (IRRs) were pooled using DerSimonian–Laird random-effects models, with fixed-effect, leave-one-out, one-per-registry-family, risk-of-bias, and GRADE sensitivity analyses.</w:t>
      </w:r>
    </w:p>
    <w:p>
      <w:r>
        <w:rPr>
          <w:b/>
        </w:rPr>
        <w:t>Results.</w:t>
      </w:r>
      <w:r>
        <w:t xml:space="preserve"> Aggregate IRRs versus NHW were 0.93 (95% CI 0.87–0.99) for Black, 0.68 for Hispanic, 0.78 for API, and 0.70 for AIAN women, with extreme heterogeneity (I² 99–100%). These aggregates were misleading. Disaggregated "API" spanned a ~3-fold range, from Korean (0.34) and Chinese (0.51) to Native Hawaiian (1.11, above NHW). By subtype, the near-null Black aggregate rose with tumour aggressiveness (HR+/HER2− 0.86 to triple-negative 2.00); this excess was ethnicity-specific — Native Hawaiian women were higher in HER2-positive but </w:t>
      </w:r>
      <w:r>
        <w:rPr>
          <w:i/>
        </w:rPr>
        <w:t>lower</w:t>
      </w:r>
      <w:r>
        <w:t xml:space="preserve"> in triple-negative disease (0.86). By age, the Black–White ratio crossed from 1.92 (ages 20–24) through unity at 40–44 to 0.78–0.84 after age 60. All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Some subtype- and subgroup-specific estimates rest on few sources and are hypothesis-generating; nonetheless, these findings support prioritizing disaggregated ethnicity-, subtype-, and age-specific reporting in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I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I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I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I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I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(table, figure, or text), and a subset of values — including the key rate ratios and the intermediate quantities driving each pooled estimate — was cross-checked by the author against the primary sources (cross-check log); a full independent double-extraction of every reported value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I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my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I recomputed the pooled estimate as a fixed-effect model, under leave-one-out removal of each study, excluding studies whose SE was approximated (no reported CI), and after collapsing sources to one estimate per registry family (keeping the most precise per family). I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I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13 provided extractable rates or rate ratios and entered quantitative synthesis [1,3–6,12–18,20] (Fig 5). Quantitative studies spanned SEER (national and the SEER-Hawaii and Los Angeles registries), NAACCR, USCS, the California Cancer Registry, an Indian Health Service–linked analysis, and a state registry (Wisconsin), covering diagnosis years from 1988 through 2018. Fourteen studies contributed to narrative synthesis: six US trend analyses that presented rates only in figures [2,21–25], two non-US studies (United Kingdom) retained as international comparison [26–27], five US studies of different design (persistent-poverty-area, socioeconomic-status, an older South Asian analysis, a Los Angeles trends analysis whose annual rates make any single pooled summary period-sensitive, and a clinicopathologic comparison of Indian-Pakistani versus NHW women) [19,28–31],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0.51, 0.39–0.67) at the low end, through Filipina (0.72, 0.66–0.80) and Japanese (0.84, 0.56–1.26), to Native Hawaiian women, whose incidence </w:t>
      </w:r>
      <w:r>
        <w:rPr>
          <w:i/>
        </w:rPr>
        <w:t>exceeded</w:t>
      </w:r>
      <w:r>
        <w:t xml:space="preserve"> NHW (1.11, 1.10–1.12) (Fig 2) [16,18]. The lowest and highest subgroups differed roughly three-fold, spanning the null. The Indian-Pakistani (South Asian) subgroup, not meta-analysed here, was likewise reported well below NHW in a California registry analysis (~0.5) [31] and roughly 45% lower than White women in the United Kingdom [26], consistent with the low end of this range.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13 quantitative studies, most domain judgements were low risk (79%), 19%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I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My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I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I therefore emphasize direction and the disaggregated strata over the precise aggregate point estimates, and I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I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I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my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I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I nonetheless cannot exclude that a more sensitive, abstract-wide search would add further regional analyses. This review was conducted by a single author with AI assistance rather than by two independent human reviewers: screening decisions were author-reviewed and key extracted values were cross-checked against their sources, but extraction was not fully independently double-performed, so residual single-extractor and transcription errors cannot be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in a supporting role only: the literature-search workflow, de-duplication, first-pass screening, data-extraction support, analysis-code development, figure preparation, and language editing of the draft. All statistical analyses were executed by the author using the openly available code; the AI did not perform the analyses or determine the results.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cross-checked the key extracted values and all drafted claims against the sources, and takes full responsibility for the analyses, interpretation, and content, though a full independent double-extraction of every value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 PMID: 36895969.</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 PMID: 33782057.</w:t>
      </w:r>
    </w:p>
    <w:p>
      <w:pPr>
        <w:spacing w:after="80"/>
      </w:pPr>
      <w:r>
        <w:t xml:space="preserve">8. </w:t>
      </w:r>
      <w:r>
        <w:t>Nobel TB, Asumeng CK, Jasek J, Van Beck KC, Mathur R, Qiao B, Brown JJ. Disparities in mortality-to-incidence ratios by race/ethnicity for female breast cancer in New York City, 2002-2016. Cancer Med. 2020;9(21):8226–8234. doi:10.1002/cam4.3309. PMID: 33006431.</w:t>
      </w:r>
    </w:p>
    <w:p>
      <w:pPr>
        <w:spacing w:after="80"/>
      </w:pPr>
      <w:r>
        <w:t xml:space="preserve">9. </w:t>
      </w:r>
      <w:r>
        <w:t>DerSimonian R, Laird N. Meta-analysis in clinical trials. Control Clin Trials. 1986;7(3):177–188. PMID: 3802833.</w:t>
      </w:r>
    </w:p>
    <w:p>
      <w:pPr>
        <w:spacing w:after="80"/>
      </w:pPr>
      <w:r>
        <w:t xml:space="preserve">10. </w:t>
      </w:r>
      <w:r>
        <w:t>Higgins JPT, Thompson SG, Deeks JJ, Altman DG. Measuring inconsistency in meta-analyses. BMJ. 2003;327(7414):557–560. PMID: 12958120.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 PMID: 18436948.</w:t>
      </w:r>
    </w:p>
    <w:p>
      <w:pPr>
        <w:spacing w:after="80"/>
      </w:pPr>
      <w:r>
        <w:t xml:space="preserve">12. </w:t>
      </w:r>
      <w:r>
        <w:t>Davis Lynn BC, Figueroa JD, Laryea D, Awittor FK, Oti NOO, Booker QS, et al. Breast Cancer Incidence Rates in Ghanaian and US Black Women From 2013 Through 2015.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ethnic women in the United States from 2000 to 2018 by time period, age and tumor stage.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U.S. population.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 PMID: 39794169.</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and Sex.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