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with an explicit keyword filter and re-read at the full abstract; because a relaxed four-of-five-signal threshold recovered studies that stated a needed term only in a table rather than the abstract—one giving race-specific rates without an explicit rate term, and one without an explicit U.S. term—the residual risk of a missed study is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2026-09-18T08:09:24.981Z</dcterms:created>
  <dcterms:modified xsi:type="dcterms:W3CDTF">2026-09-18T08:09:24.981Z</dcterms:modified>
</cp:coreProperties>
</file>

<file path=docProps/custom.xml><?xml version="1.0" encoding="utf-8"?>
<Properties xmlns="http://schemas.openxmlformats.org/officeDocument/2006/custom-properties" xmlns:vt="http://schemas.openxmlformats.org/officeDocument/2006/docPropsVTypes"/>
</file>