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032"/>
        <w:gridCol w:w="2330"/>
        <w:gridCol w:w="598"/>
        <w:gridCol w:w="1793"/>
        <w:gridCol w:w="2988"/>
        <w:gridCol w:w="896"/>
        <w:gridCol w:w="1016"/>
        <w:gridCol w:w="2749"/>
      </w:tblGrid>
      <w:tr>
        <w:trPr>
          <w:tblHeader/>
        </w:trPr>
        <w:tc>
          <w:tcPr>
            <w:tcW w:type="dxa" w:w="203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33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59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179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Model</w:t>
            </w:r>
          </w:p>
        </w:tc>
        <w:tc>
          <w:tcPr>
            <w:tcW w:type="dxa" w:w="29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89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10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 p</w:t>
            </w:r>
          </w:p>
        </w:tc>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0.078</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0.290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Model = random-effects for every cell (Paule-Mandel/REML τ² with a Hartung-Knapp-Sidik-Jonkman confidence interval); no fixed-effect model was used. Sensitivity IRR = all k estimates pooled. I² and Q p = the between-study heterogeneity of the all-included (sensitivity) pool; Q p is the p-value of Cochran's Q (χ² with k−1 df). The very high I² / small Q p here reflect repeated inclusion of non-independent, overlapping registry data rather than genuine between-study heterogeneity — which is why it is NOT treated as inconsistency in the GRADE framework (Table 6) and why the main analysis collapses to one representative per registry family. Main IRR = that single representative, which removes the non-independence. For cells with k &lt; 3 the HKSJ interval (t with k−1 df) is unstable and over-wide, so read the point estimate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4f0f6d7e558ff60e76ff295e46f74f29159060bb.png"/><Relationship Id="rId9" Type="http://schemas.openxmlformats.org/officeDocument/2006/relationships/image" Target="media/b628ce1d3cdf496eb8632233eff210c260bc6aba.png"/><Relationship Id="rId10" Type="http://schemas.openxmlformats.org/officeDocument/2006/relationships/image" Target="media/4f01e5355961c27805a33d49f772c20fdd5e20e1.png"/><Relationship Id="rId11" Type="http://schemas.openxmlformats.org/officeDocument/2006/relationships/image" Target="media/02a60b1bb0a10db65846f91b5f57b5961570c38d.png"/><Relationship Id="rId12" Type="http://schemas.openxmlformats.org/officeDocument/2006/relationships/image" Target="media/046044f78176e8f79865a92cca438141309f598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2026-08-15T11:33:04.459Z</dcterms:created>
  <dcterms:modified xsi:type="dcterms:W3CDTF">2026-08-15T11:33:04.459Z</dcterms:modified>
</cp:coreProperties>
</file>

<file path=docProps/custom.xml><?xml version="1.0" encoding="utf-8"?>
<Properties xmlns="http://schemas.openxmlformats.org/officeDocument/2006/custom-properties" xmlns:vt="http://schemas.openxmlformats.org/officeDocument/2006/docPropsVTypes"/>
</file>