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and all provided extractable quantitative data that entered the analysis, and the remaining 114 contributed to the narrative synthesis only (162 = 48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Registry populations overlap and are partly nested (county ⊂ state ⊂ SEER; SEER and NPCR both feed USCS; state registries also contribute to NAACCR), so overlapping estimates for the same analytic cell are not independent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73 cells unchanged, 8 changed, 11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5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55 of 73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AANHPI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Carozza 2006 (Carozza 2006, NAACCR/CiNA, 15 registries, 1995–2000). The table reports female</w:t>
      </w:r>
    </w:p>
    <w:p>
      <w:pPr>
        <w:spacing w:after="80"/>
      </w:pPr>
      <w:r>
        <w:rPr>
          <w:rFonts w:ascii="Malgun Gothic" w:cs="Malgun Gothic" w:eastAsia="Malgun Gothic" w:hAnsi="Malgun Gothic"/>
          <w:i w:val="false"/>
          <w:iCs w:val="false"/>
          <w:sz w:val="18"/>
          <w:szCs w:val="18"/>
        </w:rPr>
        <w:t xml:space="preserve">• invasive breast rates with standard errors (2000 US std): Latina 89.2 (SE 0.44), non-Hispanic</w:t>
      </w:r>
    </w:p>
    <w:p>
      <w:pPr>
        <w:spacing w:after="80"/>
      </w:pPr>
      <w:r>
        <w:rPr>
          <w:rFonts w:ascii="Malgun Gothic" w:cs="Malgun Gothic" w:eastAsia="Malgun Gothic" w:hAnsi="Malgun Gothic"/>
          <w:i w:val="false"/>
          <w:iCs w:val="false"/>
          <w:sz w:val="18"/>
          <w:szCs w:val="18"/>
        </w:rPr>
        <w:t xml:space="preserve">• White 138.7 (SE 0.21). IRR = 89.2/138.7 = 0.643, reproducing the paper's printed SIR of 0.64;</w:t>
      </w:r>
    </w:p>
    <w:p>
      <w:pPr>
        <w:spacing w:after="80"/>
      </w:pPr>
      <w:r>
        <w:rPr>
          <w:rFonts w:ascii="Malgun Gothic" w:cs="Malgun Gothic" w:eastAsia="Malgun Gothic" w:hAnsi="Malgun Gothic"/>
          <w:i w:val="false"/>
          <w:iCs w:val="false"/>
          <w:sz w:val="18"/>
          <w:szCs w:val="18"/>
        </w:rPr>
        <w:t xml:space="preserve">• 95% CI (0.637, 0.650) by the delta method from the reported rate SEs (rate CIs = rate ± 1.96·SE).</w:t>
      </w:r>
    </w:p>
    <w:p>
      <w:pPr>
        <w:spacing w:after="80"/>
      </w:pPr>
      <w:r>
        <w:rPr>
          <w:rFonts w:ascii="Malgun Gothic" w:cs="Malgun Gothic" w:eastAsia="Malgun Gothic" w:hAnsi="Malgun Gothic"/>
          <w:i w:val="false"/>
          <w:iCs w:val="false"/>
          <w:sz w:val="18"/>
          <w:szCs w:val="18"/>
        </w:rPr>
        <w:t xml:space="preserve">• An all-Hispanic multi-state estimate; enters the overall Hispanic aggregate cell as a</w:t>
      </w:r>
    </w:p>
    <w:p>
      <w:pPr>
        <w:spacing w:after="80"/>
      </w:pPr>
      <w:r>
        <w:rPr>
          <w:rFonts w:ascii="Malgun Gothic" w:cs="Malgun Gothic" w:eastAsia="Malgun Gothic" w:hAnsi="Malgun Gothic"/>
          <w:i w:val="false"/>
          <w:iCs w:val="false"/>
          <w:sz w:val="18"/>
          <w:szCs w:val="18"/>
        </w:rPr>
        <w:t xml:space="preserve">• sensitivity overlap of the USCS-national representative (Ellington 2022, 0.72), and overlaps Wilkinson 2002</w:t>
      </w:r>
    </w:p>
    <w:p>
      <w:pPr>
        <w:spacing w:after="80"/>
      </w:pPr>
      <w:r>
        <w:rPr>
          <w:rFonts w:ascii="Malgun Gothic" w:cs="Malgun Gothic" w:eastAsia="Malgun Gothic" w:hAnsi="Malgun Gothic"/>
          <w:i w:val="false"/>
          <w:iCs w:val="false"/>
          <w:sz w:val="18"/>
          <w:szCs w:val="18"/>
        </w:rPr>
        <w:t xml:space="preserve">• (Miami Hispanic).</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 Table 2 prints</w:t>
      </w:r>
    </w:p>
    <w:p>
      <w:pPr>
        <w:spacing w:after="80"/>
      </w:pPr>
      <w:r>
        <w:rPr>
          <w:rFonts w:ascii="Malgun Gothic" w:cs="Malgun Gothic" w:eastAsia="Malgun Gothic" w:hAnsi="Malgun Gothic"/>
          <w:i w:val="false"/>
          <w:iCs w:val="false"/>
          <w:sz w:val="18"/>
          <w:szCs w:val="18"/>
        </w:rPr>
        <w:t xml:space="preserve">• all-ages age-standardized (2000 US) breast rates: AI/AN 134.6, NHW 149.3 (printed RR 0.9).</w:t>
      </w:r>
    </w:p>
    <w:p>
      <w:pPr>
        <w:spacing w:after="80"/>
      </w:pPr>
      <w:r>
        <w:rPr>
          <w:rFonts w:ascii="Malgun Gothic" w:cs="Malgun Gothic" w:eastAsia="Malgun Gothic" w:hAnsi="Malgun Gothic"/>
          <w:i w:val="false"/>
          <w:iCs w:val="false"/>
          <w:sz w:val="18"/>
          <w:szCs w:val="18"/>
        </w:rPr>
        <w:t xml:space="preserve">• IRR = 134.6/149.3 = 0.902, point estimate only (no rate confidence intervals reported). These</w:t>
      </w:r>
    </w:p>
    <w:p>
      <w:pPr>
        <w:spacing w:after="80"/>
      </w:pPr>
      <w:r>
        <w:rPr>
          <w:rFonts w:ascii="Malgun Gothic" w:cs="Malgun Gothic" w:eastAsia="Malgun Gothic" w:hAnsi="Malgun Gothic"/>
          <w:i w:val="false"/>
          <w:iCs w:val="false"/>
          <w:sz w:val="18"/>
          <w:szCs w:val="18"/>
        </w:rPr>
        <w:t xml:space="preserve">• NE/ND/SD registries are the only Northern-Plains source in the ledger, so this is the</w:t>
      </w:r>
    </w:p>
    <w:p>
      <w:pPr>
        <w:spacing w:after="80"/>
      </w:pPr>
      <w:r>
        <w:rPr>
          <w:rFonts w:ascii="Malgun Gothic" w:cs="Malgun Gothic" w:eastAsia="Malgun Gothic" w:hAnsi="Malgun Gothic"/>
          <w:i w:val="false"/>
          <w:iCs w:val="false"/>
          <w:sz w:val="18"/>
          <w:szCs w:val="18"/>
        </w:rPr>
        <w:t xml:space="preserve">• Northern-Plains cell representative; because unlinked state registries undercount AI/AN, the row</w:t>
      </w:r>
    </w:p>
    <w:p>
      <w:pPr>
        <w:spacing w:after="80"/>
      </w:pPr>
      <w:r>
        <w:rPr>
          <w:rFonts w:ascii="Malgun Gothic" w:cs="Malgun Gothic" w:eastAsia="Malgun Gothic" w:hAnsi="Malgun Gothic"/>
          <w:i w:val="false"/>
          <w:iCs w:val="false"/>
          <w:sz w:val="18"/>
          <w:szCs w:val="18"/>
        </w:rPr>
        <w:t xml:space="preserve">• is flagged as undercount-prone.</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enters the overall Hispanic aggregate cell as a</w:t>
      </w:r>
    </w:p>
    <w:p>
      <w:pPr>
        <w:spacing w:after="80"/>
      </w:pPr>
      <w:r>
        <w:rPr>
          <w:rFonts w:ascii="Malgun Gothic" w:cs="Malgun Gothic" w:eastAsia="Malgun Gothic" w:hAnsi="Malgun Gothic"/>
          <w:i w:val="false"/>
          <w:iCs w:val="false"/>
          <w:sz w:val="18"/>
          <w:szCs w:val="18"/>
        </w:rPr>
        <w:t xml:space="preserve">• sensitivity overlap (with Carozza 2006) of the USCS-national representative (Ellington 2022).</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AANHPI 9.5 per 100,000. IRR = rate/12.8 (NHB 1.95, Hispanic 0.90,</w:t>
      </w:r>
    </w:p>
    <w:p>
      <w:pPr>
        <w:spacing w:after="80"/>
      </w:pPr>
      <w:r>
        <w:rPr>
          <w:rFonts w:ascii="Malgun Gothic" w:cs="Malgun Gothic" w:eastAsia="Malgun Gothic" w:hAnsi="Malgun Gothic"/>
          <w:i w:val="false"/>
          <w:iCs w:val="false"/>
          <w:sz w:val="18"/>
          <w:szCs w:val="18"/>
        </w:rPr>
        <w:t xml:space="preserve">• AI/AN 0.73, AANHPI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2026-09-07T10:01:25.229Z</dcterms:created>
  <dcterms:modified xsi:type="dcterms:W3CDTF">2026-09-07T10:01:25.230Z</dcterms:modified>
</cp:coreProperties>
</file>

<file path=docProps/custom.xml><?xml version="1.0" encoding="utf-8"?>
<Properties xmlns="http://schemas.openxmlformats.org/officeDocument/2006/custom-properties" xmlns:vt="http://schemas.openxmlformats.org/officeDocument/2006/docPropsVTypes"/>
</file>