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following PRISMA 2020; those with a recoverable White or non-Hispanic White (NHW) comparison formed the quantitative synthesis and the remainder the narrative synthesis.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(all 48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also depends on how race is ascertained: registries that assign race by observation misclassify and undercount many AI/AN cases, so linkage to Indian Health Service records is needed to recover their rates,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which for Alaska Native women are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collapses these overlapping estimates,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sz w:val="24"/>
          <w:szCs w:val="24"/>
        </w:rPr>
        <w:t xml:space="preserve">quantitative synthesis</w:t>
      </w:r>
      <w:r>
        <w:rPr>
          <w:rFonts w:ascii="Times New Roman" w:cs="Times New Roman" w:eastAsia="Times New Roman" w:hAnsi="Times New Roman"/>
          <w:sz w:val="24"/>
          <w:szCs w:val="24"/>
        </w:rPr>
        <w:t xml:space="preserve"> when it expressed incidence relative to a White or non-Hispanic White (NHW) comparator—as an incidence rate ratio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sz w:val="24"/>
          <w:szCs w:val="24"/>
        </w:rPr>
        <w:t xml:space="preserve">narrative synthesis</w:t>
      </w:r>
      <w:r>
        <w:rPr>
          <w:rFonts w:ascii="Times New Roman" w:cs="Times New Roman" w:eastAsia="Times New Roman" w:hAnsi="Times New Roman"/>
          <w:sz w:val="24"/>
          <w:szCs w:val="24"/>
        </w:rPr>
        <w:t xml:space="preserve">. Both aggregate groups and disaggregated subgroups (Asian American, Native Hawaiian and Pacific Islander, Hispanic/Latina by origin, and American Indian and Alaska Native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reports that did not present invasive female breast cancer incidence by race or ethnicity, and mortality- or survival-only reports were excluded. (A study reporting such incidence but without a recoverable White comparison was included in the narrative synthesis, not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were screened against the pre-specified eligibility criteria by a large language model under the author's direction; to check this step, the author re-screened a random sample of the records the model had excluded and recorded any that should have been retained. The author then obtained and read the full texts and made all full-text eligibility and inclusion decisions personally; the language model assisted data extraction and cross-checked each extracted value against its source, and every included estimate was verified by the author against the source table, figure, or text. Screening and extraction were thus performed by a single reviewer with model assistance. In all, 162 publications were included in the systematic review; of these, 48 were eligible for quantitative synthesis, all providing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or an age band)—and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a non-Hispanic White (rather than an unstratified White) comparator,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The checklist was applied to each extracted study by the author (a single assessor) with large-language-model assistance, and every item was recorded for all 48 extracted studies (Supplementary Table 5).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Every representative therefore rested on either a directly reported ratio or on rates from a single source; none relied on a comparator supplied from outside its own study or back-estimated to reproduce a rounded ratio. The only estimate that borrowed an external reference—an Alaska Native rate whose source reported no in-paper White comparator, paired with a SEER-Explorer non-Hispanic White rate for the same period—was retained solely as a sensitivity overlap, never as a representative. For the non-independence reason given above, these estimates were not combined into a pooled random-effects estimate; the primary result for each group is the representative population-based estimate, and the analysis presents the racial and ethnic differences and the subgroup heterogeneity group by group rather than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sought for 242 reports; 9 could not be retrieved, and of the 233 assessed, 71 were excluded, giving 162 included studies (Figure 1). Of these, 48 were eligible for quantitative synthesis, and all 48 provided extractable estimates (156 individual estimates across racial/ethnic groups and analytic dimensions)</w:t>
      </w:r>
      <w:r>
        <w:rPr>
          <w:rFonts w:ascii="Times New Roman" w:cs="Times New Roman" w:eastAsia="Times New Roman" w:hAnsi="Times New Roman"/>
          <w:sz w:val="24"/>
          <w:szCs w:val="24"/>
          <w:vertAlign w:val="superscript"/>
        </w:rPr>
        <w:t xml:space="preserve">2–9,11–12,15–52</w:t>
      </w:r>
      <w:r>
        <w:rPr>
          <w:rFonts w:ascii="Times New Roman" w:cs="Times New Roman" w:eastAsia="Times New Roman" w:hAnsi="Times New Roman"/>
          <w:sz w:val="24"/>
          <w:szCs w:val="24"/>
        </w:rPr>
        <w:t xml:space="preserve"> and entered the analysis—22 supplied a cell representative, and the remainder contributed overlapping estimates carried only in the sensitivity analysis; the remaining 114 informed the narrative synthesis (162 = 48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73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2).</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2).</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2).</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39 of the 48 studies were at low risk of bias and 9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three ways (Supplementary Table 6). Restricting to low-risk-of-bias studies left 55 of 73 cell representatives unchanged, with the 8 changed and 10 dropped cells concentrated in the disaggregated AANHPI subgroups; restricting to directly reported estimates left 35 unchanged (6 changed, 32 dropped); and restricting to NHW-comparator estimates left 56 unchanged (17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(an unstratified White reference for a minority of cells, chiefly the receptor-defined subtypes).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2).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27</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10,36,40,44</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sz w:val="24"/>
          <w:szCs w:val="24"/>
        </w:rPr>
        <w:t xml:space="preserve">Two features of the underlying data shaped these estimates.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10,44</w:t>
      </w:r>
      <w:r>
        <w:rPr>
          <w:rFonts w:ascii="Times New Roman" w:cs="Times New Roman" w:eastAsia="Times New Roman" w:hAnsi="Times New Roman"/>
          <w:sz w:val="24"/>
          <w:szCs w:val="24"/>
        </w:rPr>
        <w:t xml:space="preserve"> In the Northern Plains, for example, unlinked state registries placed AI/AN breast incidence at a rate ratio of 0.90 relative to NHW women, whereas the IHS-linked estimate for the same region placed it at 1.33—the comparison reversing direction with case ascertainment.</w:t>
      </w:r>
      <w:r>
        <w:rPr>
          <w:rFonts w:ascii="Times New Roman" w:cs="Times New Roman" w:eastAsia="Times New Roman" w:hAnsi="Times New Roman"/>
          <w:sz w:val="24"/>
          <w:szCs w:val="24"/>
          <w:vertAlign w:val="superscript"/>
        </w:rPr>
        <w:t xml:space="preserve">34,48</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overlapping estimates collapsed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2,29</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so selection and extraction errors cannot be excluded; the full text of every included study was read for the inclusion decision and every extracted estimate was checked against its source table, figure, or text.</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sz w:val="24"/>
          <w:szCs w:val="24"/>
        </w:rPr>
        <w:t xml:space="preserve">27.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28.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29.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30.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31.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32.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33. Amirikia KC, Mills P, Bush J, Newman LA. Higher population-based incidence rates of triple-negative breast cancer among young African-American women: implications for breast cancer screening recommendations. Cancer. 2011;117(12):2747-53. doi:10.1002/cncr.25862</w:t>
      </w:r>
    </w:p>
    <w:p>
      <w:pPr>
        <w:spacing w:after="60" w:line="300"/>
      </w:pPr>
      <w:r>
        <w:rPr>
          <w:rFonts w:ascii="Times New Roman" w:cs="Times New Roman" w:eastAsia="Times New Roman" w:hAnsi="Times New Roman"/>
          <w:sz w:val="24"/>
          <w:szCs w:val="24"/>
        </w:rPr>
        <w:t xml:space="preserve">34. Watanabe-Galloway S, Watkins K, Duran T. Trends and patterns of late and unstaged lung, colorectal, female breast, and prostate cancers among American Indians in the Northern Plains, 2002-2009. J Health Care Poor Underserved. 2015;26(4):1041-63. doi:10.1353/hpu.2015.0089</w:t>
      </w:r>
    </w:p>
    <w:p>
      <w:pPr>
        <w:spacing w:after="60" w:line="300"/>
      </w:pPr>
      <w:r>
        <w:rPr>
          <w:rFonts w:ascii="Times New Roman" w:cs="Times New Roman" w:eastAsia="Times New Roman" w:hAnsi="Times New Roman"/>
          <w:sz w:val="24"/>
          <w:szCs w:val="24"/>
        </w:rPr>
        <w:t xml:space="preserve">35.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36.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37.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38.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39.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40.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41.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42.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sz w:val="24"/>
          <w:szCs w:val="24"/>
        </w:rPr>
        <w:t xml:space="preserve">43.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44.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45.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49.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sz w:val="24"/>
          <w:szCs w:val="24"/>
        </w:rPr>
        <w:t xml:space="preserve">50.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51.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52.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575188affc8fbacc18ff1aed4426fbcc15a314b4.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2026-09-02T09:43:37.872Z</dcterms:created>
  <dcterms:modified xsi:type="dcterms:W3CDTF">2026-09-02T09:43:37.873Z</dcterms:modified>
</cp:coreProperties>
</file>

<file path=docProps/custom.xml><?xml version="1.0" encoding="utf-8"?>
<Properties xmlns="http://schemas.openxmlformats.org/officeDocument/2006/custom-properties" xmlns:vt="http://schemas.openxmlformats.org/officeDocument/2006/docPropsVTypes"/>
</file>