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taken as a representative. What then became of it depended on whether another included publication already carried the same content. Where one did, the re-report added nothing and was excluded as a duplicate dataset: 55 reports, of which 51 were earlier editions of the annual cancer-statistics reports or of the Annual Report to the Nation, two were preprint versions of an included analysis, and two were book chapters. Where none did, the report was kept. This applied to the most recent eligible edition of a recurring series, which is the only edition carrying that series' current account; since the registry incidence it reports already came from the dedicated primary study for that registry and period, it contributed to the narrative synthesis alone.</w:t>
      </w:r>
    </w:p>
    <w:p>
      <w:pPr>
        <w:spacing w:after="160" w:line="360"/>
      </w:pPr>
      <w:r>
        <w:rPr>
          <w:rFonts w:ascii="Times New Roman" w:cs="Times New Roman" w:eastAsia="Times New Roman" w:hAnsi="Times New Roman"/>
          <w:color w:val="000000"/>
          <w:sz w:val="24"/>
          <w:szCs w:val="24"/>
        </w:rPr>
        <w:t xml:space="preserve">A publication drawing on the same registry family but a different period, region, or subset was a different matter. Such a report gave a distinct estimate and was retained as an overlapping one for the sensitivity analysis rather than excluded; its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reviewed the proposals of each kind.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 Every estimate was recorded with the minority group as the numerator and the White reference as the denominator. 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source—18 cells, being 16 of the 36 receptor-defined subtype cells and the two Black cells above and below age 40—the estimate using an unstratified White comparator was kept as the representative. One further cell, Alaska Native, also rests on an unstratified White comparator although an NHW-comparator source exists for it, the broader-coverage rule above having selected the registry that reports against an unstratified White reference; 19 of the 85 representatives use such a reference in all. Each estimate's comparator is named in Supplementary Table 4; where such a cell appears in the main text it is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one could be recovered from what the source reports.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 Neither is the representative for its cell, so no estimate reported in the main text is an SIR.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 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 Supplementary Table 6b); restricting to NHW-comparator estimates left 66 unchanged (1 changed, 18 dropped; 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19 of the 85 cells, most of them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2026-09-23T10:16:17.057Z</dcterms:created>
  <dcterms:modified xsi:type="dcterms:W3CDTF">2026-09-23T10:16:17.058Z</dcterms:modified>
</cp:coreProperties>
</file>

<file path=docProps/custom.xml><?xml version="1.0" encoding="utf-8"?>
<Properties xmlns="http://schemas.openxmlformats.org/officeDocument/2006/custom-properties" xmlns:vt="http://schemas.openxmlformats.org/officeDocument/2006/docPropsVTypes"/>
</file>