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representative estimates (one per racial or ethnic group × analytic dimension) remained; all are listed in Supplementary Table 4, and the principal comparisons—overall incidence, the disaggregated AANHPI and Hispanic-origin subgroups, AI/AN by region, Middle Eastern populations, triple-negative breast cancer, and male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2026-08-19T09:54:36.397Z</dcterms:created>
  <dcterms:modified xsi:type="dcterms:W3CDTF">2026-08-19T09:54:36.397Z</dcterms:modified>
</cp:coreProperties>
</file>

<file path=docProps/custom.xml><?xml version="1.0" encoding="utf-8"?>
<Properties xmlns="http://schemas.openxmlformats.org/officeDocument/2006/custom-properties" xmlns:vt="http://schemas.openxmlformats.org/officeDocument/2006/docPropsVTypes"/>
</file>