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For the national AI/AN cell this set aside a source covering about 99% of the U.S. population for one confined to Purchased/Referred Care Delivery Area counties; the demoted estimates were carried in the sensitivity analysis. Alaska Native women are an example on the comparator side.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60" w:line="360"/>
      </w:pPr>
      <w:r>
        <w:rPr>
          <w:rFonts w:ascii="Times New Roman" w:cs="Times New Roman" w:eastAsia="Times New Roman" w:hAnsi="Times New Roman"/>
          <w:color w:val="000000"/>
          <w:sz w:val="24"/>
          <w:szCs w:val="24"/>
        </w:rPr>
        <w:t xml:space="preserve">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60" w:line="360"/>
      </w:pPr>
      <w:r>
        <w:rPr>
          <w:rFonts w:ascii="Times New Roman" w:cs="Times New Roman" w:eastAsia="Times New Roman" w:hAnsi="Times New Roman"/>
          <w:color w:val="000000"/>
          <w:sz w:val="24"/>
          <w:szCs w:val="24"/>
        </w:rPr>
        <w:t xml:space="preserve">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60" w:line="360"/>
      </w:pPr>
      <w:r>
        <w:rPr>
          <w:rFonts w:ascii="Times New Roman" w:cs="Times New Roman" w:eastAsia="Times New Roman" w:hAnsi="Times New Roman"/>
          <w:color w:val="000000"/>
          <w:sz w:val="24"/>
          <w:szCs w:val="24"/>
        </w:rPr>
        <w:t xml:space="preserve">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Each restriction re-selected a representative in the cells it could fill and dropped the rest.</w:t>
      </w:r>
    </w:p>
    <w:p>
      <w:pPr>
        <w:spacing w:after="160" w:line="360"/>
      </w:pPr>
      <w:r>
        <w:rPr>
          <w:rFonts w:ascii="Times New Roman" w:cs="Times New Roman" w:eastAsia="Times New Roman" w:hAnsi="Times New Roman"/>
          <w:color w:val="000000"/>
          <w:sz w:val="24"/>
          <w:szCs w:val="24"/>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moving AI/AN below Hispanic/Latina women (Supplementary Table 6a).</w:t>
      </w:r>
    </w:p>
    <w:p>
      <w:pPr>
        <w:spacing w:after="160" w:line="360"/>
      </w:pPr>
      <w:r>
        <w:rPr>
          <w:rFonts w:ascii="Times New Roman" w:cs="Times New Roman" w:eastAsia="Times New Roman" w:hAnsi="Times New Roman"/>
          <w:color w:val="000000"/>
          <w:sz w:val="24"/>
          <w:szCs w:val="24"/>
        </w:rPr>
        <w:t xml:space="preserve">Restricting to directly reported IRRs—which also excludes the two indirectly standardized SIRs—left 35 unchanged (4 changed, 46 dropped; Supplementary Table 6b).</w:t>
      </w:r>
    </w:p>
    <w:p>
      <w:pPr>
        <w:spacing w:after="160" w:line="360"/>
      </w:pPr>
      <w:r>
        <w:rPr>
          <w:rFonts w:ascii="Times New Roman" w:cs="Times New Roman" w:eastAsia="Times New Roman" w:hAnsi="Times New Roman"/>
          <w:color w:val="000000"/>
          <w:sz w:val="24"/>
          <w:szCs w:val="24"/>
        </w:rPr>
        <w:t xml:space="preserve">Restricting to NHW-comparator estimates left 66 unchanged (1 changed, 18 dropped; Supplementary Table 6c). The 18 dropped cells are those whose only representative used an unstratified White comparator—16 receptor-defined subtype cells and the two Black cells above and below age 40—and the one changed cell is Alaska Native, whose unstratified-White representative (1.09) gave way to an Indian Health Service–linked estimate reported against an NHW reference (1.25).</w:t>
      </w:r>
    </w:p>
    <w:p>
      <w:pPr>
        <w:spacing w:after="160" w:line="360"/>
      </w:pPr>
      <w:r>
        <w:rPr>
          <w:rFonts w:ascii="Times New Roman" w:cs="Times New Roman" w:eastAsia="Times New Roman" w:hAnsi="Times New Roman"/>
          <w:color w:val="000000"/>
          <w:sz w:val="24"/>
          <w:szCs w:val="24"/>
        </w:rPr>
        <w:t xml:space="preserve">Restricting to the 2000 U.S. standard population changed little, since 83 of the 85 representatives were already standardized to it: it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how AI/AN cases were ascertained, and which White group each source compared against.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w:t>
      </w:r>
    </w:p>
    <w:p>
      <w:pPr>
        <w:spacing w:after="160" w:line="360"/>
      </w:pPr>
      <w:r>
        <w:rPr>
          <w:rFonts w:ascii="Times New Roman" w:cs="Times New Roman" w:eastAsia="Times New Roman" w:hAnsi="Times New Roman"/>
          <w:color w:val="000000"/>
          <w:sz w:val="24"/>
          <w:szCs w:val="24"/>
        </w:rPr>
        <w:t xml:space="preserve">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60" w:line="360"/>
      </w:pPr>
      <w:r>
        <w:rPr>
          <w:rFonts w:ascii="Times New Roman" w:cs="Times New Roman" w:eastAsia="Times New Roman" w:hAnsi="Times New Roman"/>
          <w:color w:val="000000"/>
          <w:sz w:val="24"/>
          <w:szCs w:val="24"/>
        </w:rPr>
        <w:t xml:space="preserve">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73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w:t>
      </w:r>
    </w:p>
    <w:p>
      <w:pPr>
        <w:spacing w:after="160" w:line="360"/>
      </w:pPr>
      <w:r>
        <w:rPr>
          <w:rFonts w:ascii="Times New Roman" w:cs="Times New Roman" w:eastAsia="Times New Roman" w:hAnsi="Times New Roman"/>
          <w:color w:val="000000"/>
          <w:sz w:val="24"/>
          <w:szCs w:val="24"/>
        </w:rPr>
        <w:t xml:space="preserve">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w:t>
      </w:r>
    </w:p>
    <w:p>
      <w:pPr>
        <w:spacing w:after="160" w:line="360"/>
      </w:pPr>
      <w:r>
        <w:rPr>
          <w:rFonts w:ascii="Times New Roman" w:cs="Times New Roman" w:eastAsia="Times New Roman" w:hAnsi="Times New Roman"/>
          <w:color w:val="000000"/>
          <w:sz w:val="24"/>
          <w:szCs w:val="24"/>
        </w:rPr>
        <w:t xml:space="preserve">The review was restricted to U.S.-resident populations, so the estimates are not generalizable to countries that use a different White reference, different racial and ethnic categories, and different standard populations.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color w:val="000000"/>
          <w:sz w:val="24"/>
          <w:szCs w:val="24"/>
        </w:rPr>
        <w:t xml:space="preserve">Finally, screening, full-text selection, extraction, and the risk-of-bias appraisal were carried out by a single reviewer with large-language-model assistance rather than by two independent reviewers, which the appraisal checklist asks for.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the four Hispanic-origin subgroups and two of the Pacific Islander ones rest on a single source apiece, and AI/AN incidence by molecular subtype rests on unlinked registries throughout and on a single source in three of its four cells. Four of the seven AI/AN regional figures and the national aggregate are point estimates without a confidence interval. These are the 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2026-09-23T10:51:24.649Z</dcterms:created>
  <dcterms:modified xsi:type="dcterms:W3CDTF">2026-09-23T10:51:24.650Z</dcterms:modified>
</cp:coreProperties>
</file>

<file path=docProps/custom.xml><?xml version="1.0" encoding="utf-8"?>
<Properties xmlns="http://schemas.openxmlformats.org/officeDocument/2006/custom-properties" xmlns:vt="http://schemas.openxmlformats.org/officeDocument/2006/docPropsVTypes"/>
</file>