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estimates standardized to the 2000 U.S. standard population left 81 of 83 unchanged and dropped none, with only two Black receptor-subtype cells changing—each from a representative standardized to the 1960 Segi world standard to a 2000 U.S.–standardized estimate in the same direction (hormone-receptor-negative 1.80 to 1.60, hormone-receptor-positive 0.82 to 0.70).</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four sensitivity analyses the main pattern held: few cells changed representative on restriction (11 under the low-risk-of-bias restriction, 5 under the directly-reported restriction, 1 under the NHW-comparator restriction, and 2 under the 2000 U.S. standard-population restriction), and most of the differences were cells dropped for lack of a qualifying estimate rather than cells that disagreed. Standard-population heterogeneity was minor: 81 of 83 representatives were already on the 2000 U.S. standard, and restricting to it dropped no cell and changed only two Black receptor-subtype cells, in the same direction.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2026-09-12T09:18:35.144Z</dcterms:created>
  <dcterms:modified xsi:type="dcterms:W3CDTF">2026-09-12T09:18:35.145Z</dcterms:modified>
</cp:coreProperties>
</file>

<file path=docProps/custom.xml><?xml version="1.0" encoding="utf-8"?>
<Properties xmlns="http://schemas.openxmlformats.org/officeDocument/2006/custom-properties" xmlns:vt="http://schemas.openxmlformats.org/officeDocument/2006/docPropsVTypes"/>
</file>