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and Meta-Analysis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One representative estimate per group (one estimate per registry family). Effect measure is the incidence rate ratio (IRR) unless noted as a standardized incidence ratio (SIR). RoB = Newcastle-Ottawa rating of the representative study; GRADE = certainty of evidence. Full per-estimate detail is in the Supplementary Materials.</w:t>
      </w: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Overall invasive breast cancer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439"/>
        <w:gridCol w:w="1182"/>
        <w:gridCol w:w="3224"/>
        <w:gridCol w:w="3654"/>
        <w:gridCol w:w="1504"/>
        <w:gridCol w:w="1397"/>
      </w:tblGrid>
      <w:tr>
        <w:trPr>
          <w:tblHeader/>
        </w:trPr>
        <w:tc>
          <w:tcPr>
            <w:tcW w:type="dxa" w:w="343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22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365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150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39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Gopalani2020_31764279 (1999-2015)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Ellington2022_USCS (2018)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and Pacific Islander (API)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Ellington2022_USCS (2018)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Ellington2022_USCS (2018)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Asian American / Native Hawaiian / Pacific Islander subgroups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439"/>
        <w:gridCol w:w="1182"/>
        <w:gridCol w:w="3224"/>
        <w:gridCol w:w="3654"/>
        <w:gridCol w:w="1504"/>
        <w:gridCol w:w="1397"/>
      </w:tblGrid>
      <w:tr>
        <w:trPr>
          <w:tblHeader/>
        </w:trPr>
        <w:tc>
          <w:tcPr>
            <w:tcW w:type="dxa" w:w="343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22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365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150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39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Mills2005 (Hmong 1988-2000 / NHW 1995-1999)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High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Kem2007 (1998-2002)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Gomez2026_SEER21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Gomez2026_SEER21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Gomez2026_SEER21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Gomez2026_SEER21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Gomez2026_SEER21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Gomez2026_SEER21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Gomez2026_SEER21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 (young)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 [0.90, 1.01]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Gomez2017_CCR (2009-2013)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Gomez2026_SEER21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 (young)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1.02 [0.91, 1.14]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Gomez2017_CCR (2009-2013)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Gomez2026_SEER21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Miller2008_NAACCR-API (1998-2002)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Gomez2026_SEER21 (2018-2022)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Hispanic/Latina by country of origin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439"/>
        <w:gridCol w:w="1182"/>
        <w:gridCol w:w="3224"/>
        <w:gridCol w:w="3654"/>
        <w:gridCol w:w="1504"/>
        <w:gridCol w:w="1397"/>
      </w:tblGrid>
      <w:tr>
        <w:trPr>
          <w:tblHeader/>
        </w:trPr>
        <w:tc>
          <w:tcPr>
            <w:tcW w:type="dxa" w:w="343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22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365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150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39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0.503 [0.376, 0.673]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Pinheiro2009_FL (1999-2001)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Carozza2006_multistate (1995-2000)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0.684 [0.619, 0.756]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Pinheiro2009_FL (1999-2001)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0.755 [0.677, 0.842]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Pinheiro2009_FL (1999-2001)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0.817 [0.726, 0.920]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Pinheiro2009_FL (1999-2001)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American Indian / Alaska Native by region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439"/>
        <w:gridCol w:w="1182"/>
        <w:gridCol w:w="3224"/>
        <w:gridCol w:w="3654"/>
        <w:gridCol w:w="1504"/>
        <w:gridCol w:w="1397"/>
      </w:tblGrid>
      <w:tr>
        <w:trPr>
          <w:tblHeader/>
        </w:trPr>
        <w:tc>
          <w:tcPr>
            <w:tcW w:type="dxa" w:w="343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22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365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150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39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(Navajo)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Yazzie2025_Navajo (2014-2018)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Melkonian2019_IHS-PRCDA (2012-2016)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(Southern Plains, provisional)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Melkonian2021_IHS-PRCDA (2012-2016)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 (Northern Plains, provisional)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Melkonian2021_IHS-PRCDA (2012-2016)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Middle Eastern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439"/>
        <w:gridCol w:w="1182"/>
        <w:gridCol w:w="3224"/>
        <w:gridCol w:w="3654"/>
        <w:gridCol w:w="1504"/>
        <w:gridCol w:w="1397"/>
      </w:tblGrid>
      <w:tr>
        <w:trPr>
          <w:tblHeader/>
        </w:trPr>
        <w:tc>
          <w:tcPr>
            <w:tcW w:type="dxa" w:w="343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22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365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150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39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Nasseri2009 (1988-2004)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Triple-negative breast cancer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439"/>
        <w:gridCol w:w="1182"/>
        <w:gridCol w:w="3224"/>
        <w:gridCol w:w="3654"/>
        <w:gridCol w:w="1504"/>
        <w:gridCol w:w="1397"/>
      </w:tblGrid>
      <w:tr>
        <w:trPr>
          <w:tblHeader/>
        </w:trPr>
        <w:tc>
          <w:tcPr>
            <w:tcW w:type="dxa" w:w="343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22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365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150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39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Loo2019_HTR (2000-2016)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Gomez2017_CCR (2009-2013)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and Pacific Islander (API)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Sung2023_USCS (2015-2019)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Loo2019_HTR (2000-2016)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Sung2023_USCS (2015-2019)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Sung2023_USCS (2015-2019)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Loo2019_HTR (2000-2016)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Sung2023_USCS (2015-2019)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Male breast cancer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439"/>
        <w:gridCol w:w="1182"/>
        <w:gridCol w:w="3224"/>
        <w:gridCol w:w="3654"/>
        <w:gridCol w:w="1504"/>
        <w:gridCol w:w="1397"/>
      </w:tblGrid>
      <w:tr>
        <w:trPr>
          <w:tblHeader/>
        </w:trPr>
        <w:tc>
          <w:tcPr>
            <w:tcW w:type="dxa" w:w="343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22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365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150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39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343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22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1.52 [1.44, 1.6]</w:t>
            </w:r>
          </w:p>
        </w:tc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Sung2020_USCS50 (2011-2015)</w:t>
            </w:r>
          </w:p>
        </w:tc>
        <w:tc>
          <w:tcPr>
            <w:tcW w:type="dxa" w:w="150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39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2. Aggregate meta-analysis of invasive breast cancer incidence by racial and ethnic group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Random-effects meta-analysis (Paule-Mandel/REML τ² with Hartung-Knapp-Sidik-Jonkman confidence interval); no fixed-effect model was used. k = number of estimates pooled in the all-included (sensitivity) analysis; I² and Cochran's Q p-value describe that pool. The main analysis uses one estimate per registry family to remove non-independence; the very high I² reflects overlapping registry data rather than genuine between-study heterogeneity (see Supplementary Table 8 and the GRADE framework).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654"/>
        <w:gridCol w:w="752"/>
        <w:gridCol w:w="2042"/>
        <w:gridCol w:w="2901"/>
        <w:gridCol w:w="860"/>
        <w:gridCol w:w="1075"/>
        <w:gridCol w:w="3116"/>
      </w:tblGrid>
      <w:tr>
        <w:trPr>
          <w:tblHeader/>
        </w:trPr>
        <w:tc>
          <w:tcPr>
            <w:tcW w:type="dxa" w:w="3654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Comparison (vs NHW)</w:t>
            </w:r>
          </w:p>
        </w:tc>
        <w:tc>
          <w:tcPr>
            <w:tcW w:type="dxa" w:w="75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k</w:t>
            </w:r>
          </w:p>
        </w:tc>
        <w:tc>
          <w:tcPr>
            <w:tcW w:type="dxa" w:w="204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Model</w:t>
            </w:r>
          </w:p>
        </w:tc>
        <w:tc>
          <w:tcPr>
            <w:tcW w:type="dxa" w:w="290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Pooled IRR (95% CI)</w:t>
            </w:r>
          </w:p>
        </w:tc>
        <w:tc>
          <w:tcPr>
            <w:tcW w:type="dxa" w:w="860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I²</w:t>
            </w:r>
          </w:p>
        </w:tc>
        <w:tc>
          <w:tcPr>
            <w:tcW w:type="dxa" w:w="1075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Q p</w:t>
            </w:r>
          </w:p>
        </w:tc>
        <w:tc>
          <w:tcPr>
            <w:tcW w:type="dxa" w:w="311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Main IRR (one-per-family)</w:t>
            </w:r>
          </w:p>
        </w:tc>
      </w:tr>
      <w:tr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Overall invasive breast cancer — Black</w:t>
            </w:r>
          </w:p>
        </w:tc>
        <w:tc>
          <w:tcPr>
            <w:tcW w:type="dxa" w:w="75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20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Random-effects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0.951 (0.936-0.965)</w:t>
            </w:r>
          </w:p>
        </w:tc>
        <w:tc>
          <w:tcPr>
            <w:tcW w:type="dxa" w:w="8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96%</w:t>
            </w:r>
          </w:p>
        </w:tc>
        <w:tc>
          <w:tcPr>
            <w:tcW w:type="dxa" w:w="107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&lt;0.001</w:t>
            </w:r>
          </w:p>
        </w:tc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(0.92-0.946)</w:t>
            </w:r>
          </w:p>
        </w:tc>
      </w:tr>
      <w:tr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Overall invasive breast cancer — Hispanic</w:t>
            </w:r>
          </w:p>
        </w:tc>
        <w:tc>
          <w:tcPr>
            <w:tcW w:type="dxa" w:w="75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20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Random-effects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0.719 (0.675-0.765)</w:t>
            </w:r>
          </w:p>
        </w:tc>
        <w:tc>
          <w:tcPr>
            <w:tcW w:type="dxa" w:w="8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99%</w:t>
            </w:r>
          </w:p>
        </w:tc>
        <w:tc>
          <w:tcPr>
            <w:tcW w:type="dxa" w:w="107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&lt;0.001</w:t>
            </w:r>
          </w:p>
        </w:tc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(0.706-0.73)</w:t>
            </w:r>
          </w:p>
        </w:tc>
      </w:tr>
      <w:tr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Overall invasive breast cancer — Asian and Pacific Islander (API)</w:t>
            </w:r>
          </w:p>
        </w:tc>
        <w:tc>
          <w:tcPr>
            <w:tcW w:type="dxa" w:w="75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20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Random-effects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0.798 (0.724-0.878)</w:t>
            </w:r>
          </w:p>
        </w:tc>
        <w:tc>
          <w:tcPr>
            <w:tcW w:type="dxa" w:w="8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100%</w:t>
            </w:r>
          </w:p>
        </w:tc>
        <w:tc>
          <w:tcPr>
            <w:tcW w:type="dxa" w:w="107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&lt;0.001</w:t>
            </w:r>
          </w:p>
        </w:tc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(0.751-0.787)</w:t>
            </w:r>
          </w:p>
        </w:tc>
      </w:tr>
      <w:tr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Overall invasive breast cancer — AIAN</w:t>
            </w:r>
          </w:p>
        </w:tc>
        <w:tc>
          <w:tcPr>
            <w:tcW w:type="dxa" w:w="75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20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Random-effects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0.695 (0.603-0.802)</w:t>
            </w:r>
          </w:p>
        </w:tc>
        <w:tc>
          <w:tcPr>
            <w:tcW w:type="dxa" w:w="8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99%</w:t>
            </w:r>
          </w:p>
        </w:tc>
        <w:tc>
          <w:tcPr>
            <w:tcW w:type="dxa" w:w="107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&lt;0.001</w:t>
            </w:r>
          </w:p>
        </w:tc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 (0.55-0.57)</w:t>
            </w:r>
          </w:p>
        </w:tc>
      </w:tr>
      <w:tr>
        <w:tc>
          <w:tcPr>
            <w:tcW w:type="dxa" w:w="3654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Triple-negative — Black</w:t>
            </w:r>
          </w:p>
        </w:tc>
        <w:tc>
          <w:tcPr>
            <w:tcW w:type="dxa" w:w="75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204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Random-effects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1.968 (1.815-2.134)</w:t>
            </w:r>
          </w:p>
        </w:tc>
        <w:tc>
          <w:tcPr>
            <w:tcW w:type="dxa" w:w="860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84%</w:t>
            </w:r>
          </w:p>
        </w:tc>
        <w:tc>
          <w:tcPr>
            <w:tcW w:type="dxa" w:w="1075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&lt;0.001</w:t>
            </w:r>
          </w:p>
        </w:tc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 (1.925-1.975)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AIAN main analysis uses the Indian Health Service–linked (undercount-corrected) representative; the higher unlinked SEER value (0.71) appears only in the sensitivity pool. Pooled and main IRRs agree closely for all other groups.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4f0f6d7e558ff60e76ff295e46f74f29159060bb.png"/><Relationship Id="rId9" Type="http://schemas.openxmlformats.org/officeDocument/2006/relationships/image" Target="media/b628ce1d3cdf496eb8632233eff210c260bc6ab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2026-08-15T11:45:47.865Z</dcterms:created>
  <dcterms:modified xsi:type="dcterms:W3CDTF">2026-08-15T11:45:47.865Z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