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with the reason it was or was not selected as a cell representative: “Representative for N cell(s)” = supplied the main-analysis benchmark for N analytic cells (group × dimension), with the selection basis in parentheses (sole estimate in the cell, or best in the cell by coverage/recency/comparator); “overlap for M” = also contributed M overlapping estimates carried only in the sensitivity re-selection; “Overlap/sensitivity only” = every estimate overlapped a cell already represented by another study, followed by why it was not selected (superseded within its registry family by a broader-coverage or more-recent representative; an unlinked registry outranked by an IHS-linked source for AI/AN; an external out-of-paper NHW reference; or no usable rate ratio); “Narrative only” = met inclusion but contributed no quantitative estimate, with the reason given per study — no recoverable NHW comparison (most), a race–NHW breast IRR reported only as an annual trend (not a single poolable estimate), or a summary report re-reporting registry incidence already quantified from a dedicated primary study for the same registry and period. One representative is selected per analytic cell (selection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62 of 83 cells unchanged, 11 changed, 10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31 unchanged, 5 changed, 47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64 of 83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81 of 83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pPr>
        <w:spacing w:after="80"/>
      </w:pPr>
      <w:r>
        <w:rPr>
          <w:rFonts w:ascii="Malgun Gothic" w:cs="Malgun Gothic" w:eastAsia="Malgun Gothic" w:hAnsi="Malgun Gothic"/>
          <w:i/>
          <w:iCs/>
          <w:sz w:val="18"/>
          <w:szCs w:val="18"/>
        </w:rPr>
        <w:t xml:space="preserve">Omissions found on re-verification. Two rounds of source re-verification, which rendered the source tables of the quantitative reports as page images rather than relying on extracted text alone, also recovered extractable data missed on first pass, all among included reports: six overlapping-registry reports initially deferred were extracted into the sensitivity pool, and four reports first placed in the narrative set were moved to the quantitative synthesis after their image-only tables were read — two national USCS studies giving age-adjusted IRRs versus NHW women for ages 20–49 and 65 and older, a seven-state Delta-region study giving age-adjusted subtype IRRs versus NHW women, and a SEER study giving age-adjusted rates by race from which the NHW comparison was recomputed. All four contributed overlapping or age-specific estimates rather than displacing the national representatives.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2026-09-12T11:31:02.534Z</dcterms:created>
  <dcterms:modified xsi:type="dcterms:W3CDTF">2026-09-12T11:31:02.534Z</dcterms:modified>
</cp:coreProperties>
</file>

<file path=docProps/custom.xml><?xml version="1.0" encoding="utf-8"?>
<Properties xmlns="http://schemas.openxmlformats.org/officeDocument/2006/custom-properties" xmlns:vt="http://schemas.openxmlformats.org/officeDocument/2006/docPropsVTypes"/>
</file>