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Terminology: comparisons are versus non-Hispanic White (NHW); “non-Hispanic Black (NHB)” and NHW denote non-Hispanic categories. Five older sources did NOT stratify by Hispanic origin — Anderson 2008 and Brinton 2008 (age-specific), Gleason 2012 (ER/PR subtypes), and Cronin 2012 and Richardson 2016 (aggregate, sensitivity/overlap only) — so their Black/White groups are non-stratified; none is a main-analysis representative for the headline (aggregate/TNBC) cells (Note 1).</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2026-08-16T04:14:27.319Z</dcterms:created>
  <dcterms:modified xsi:type="dcterms:W3CDTF">2026-08-16T04:14:27.320Z</dcterms:modified>
</cp:coreProperties>
</file>

<file path=docProps/custom.xml><?xml version="1.0" encoding="utf-8"?>
<Properties xmlns="http://schemas.openxmlformats.org/officeDocument/2006/custom-properties" xmlns:vt="http://schemas.openxmlformats.org/officeDocument/2006/docPropsVTypes"/>
</file>