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so they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four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and excluded sets. 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 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219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2–9,11–12,15–52</w:t>
      </w:r>
      <w:r>
        <w:rPr>
          <w:rFonts w:ascii="Times New Roman" w:cs="Times New Roman" w:eastAsia="Times New Roman" w:hAnsi="Times New Roman"/>
          <w:color w:val="000000"/>
          <w:sz w:val="24"/>
          <w:szCs w:val="24"/>
        </w:rPr>
        <w:t xml:space="preserve">—23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the 2000 U.S. standard population changed little: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 Restricting to low-risk-of-bias studies left 60 of 85 cell representatives unchanged, with the 13 changed and 12 dropped cells falling mainly among the disaggregated AANHPI subgroups and, in smaller numbers, the receptor-subtype, age-specific, and Middle Eastern cells; restricting to directly reported estimates left 35 unchanged (5 changed, 45 dropped); restricting to NHW-comparator estimates left 66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so the figure shows the range of published estimates—differing in registry, region, and diagnosis period—rather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SEER-21 period;</w:t>
      </w:r>
      <w:r>
        <w:rPr>
          <w:rFonts w:ascii="Times New Roman" w:cs="Times New Roman" w:eastAsia="Times New Roman" w:hAnsi="Times New Roman"/>
          <w:color w:val="000000"/>
          <w:sz w:val="24"/>
          <w:szCs w:val="24"/>
          <w:vertAlign w:val="superscript"/>
        </w:rPr>
        <w:t xml:space="preserve">27</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21</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and the low Navajo-area rate align with prior regional and tribal analyses;</w:t>
      </w:r>
      <w:r>
        <w:rPr>
          <w:rFonts w:ascii="Times New Roman" w:cs="Times New Roman" w:eastAsia="Times New Roman" w:hAnsi="Times New Roman"/>
          <w:color w:val="000000"/>
          <w:sz w:val="24"/>
          <w:szCs w:val="24"/>
          <w:vertAlign w:val="superscript"/>
        </w:rPr>
        <w:t xml:space="preserve">10,36,40,44</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2,20</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color w:val="000000"/>
          <w:sz w:val="24"/>
          <w:szCs w:val="24"/>
          <w:vertAlign w:val="superscript"/>
        </w:rPr>
        <w:t xml:space="preserve">27</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49</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color w:val="000000"/>
          <w:sz w:val="24"/>
          <w:szCs w:val="24"/>
          <w:vertAlign w:val="superscript"/>
        </w:rPr>
        <w:t xml:space="preserve">10,44</w:t>
      </w:r>
      <w:r>
        <w:rPr>
          <w:rFonts w:ascii="Times New Roman" w:cs="Times New Roman" w:eastAsia="Times New Roman" w:hAnsi="Times New Roman"/>
          <w:color w:val="000000"/>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color w:val="000000"/>
          <w:sz w:val="24"/>
          <w:szCs w:val="24"/>
          <w:vertAlign w:val="superscript"/>
        </w:rPr>
        <w:t xml:space="preserve">34,48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2,29</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all but one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(38 of the 85 analytic cells) from those resting on a single study (47), and it shows where independent sources agree—most cells—and where they diverge, chiefly the near-null AANHPI subgroups and the ascertainment-dependent AI/AN comparison noted above. Reviewing the studies jointly rather than singly therefore confirmed something no individual report, confined to its own registry and period, could establish: that the wide within-aggregate heterogeneity is reproducible across independent registries, stable under the sensitivity restrictions, and concordant with the earlier single-population studies it draws together—so the pattern does not depend on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color w:val="000000"/>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color w:val="000000"/>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color w:val="000000"/>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color w:val="000000"/>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color w:val="000000"/>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color w:val="000000"/>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color w:val="000000"/>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9c4e27b0248769a0113ef335befbe216a5c0448.png"/><Relationship Id="rId8" Type="http://schemas.openxmlformats.org/officeDocument/2006/relationships/image" Target="media/ffce1511a45f0e0a4713d3517a89ce3f1bee70fe.png"/><Relationship Id="rId9" Type="http://schemas.openxmlformats.org/officeDocument/2006/relationships/image" Target="media/707d1ba7aebbb019fa42ad40779b83fb4004214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2026-09-16T08:49:57.703Z</dcterms:created>
  <dcterms:modified xsi:type="dcterms:W3CDTF">2026-09-16T08:49:57.704Z</dcterms:modified>
</cp:coreProperties>
</file>

<file path=docProps/custom.xml><?xml version="1.0" encoding="utf-8"?>
<Properties xmlns="http://schemas.openxmlformats.org/officeDocument/2006/custom-properties" xmlns:vt="http://schemas.openxmlformats.org/officeDocument/2006/docPropsVTypes"/>
</file>