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Terminology: comparisons are versus non-Hispanic White (NHW); “non-Hispanic Black (NHB)” and NHW denote non-Hispanic categories. Five older sources did NOT stratify by Hispanic origin — Anderson 2008 and Brinton 2008 (age-specific), Gleason 2012 (ER/PR subtypes), and Cronin 2012 and Richardson 2016 (aggregate, sensitivity/overlap only) — so their Black/White groups are non-stratified; none is a main-analysis representative for the headline (aggregate/TNBC) cells (Note 1).</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d53f69957b5f6abbe841fa2313aaea010af352c.png"/><Relationship Id="rId8" Type="http://schemas.openxmlformats.org/officeDocument/2006/relationships/image" Target="media/ce733517712e4363cffe22202b140ab6a4e17c04.png"/><Relationship Id="rId9" Type="http://schemas.openxmlformats.org/officeDocument/2006/relationships/image" Target="media/a0ac2071944871291c8f9553127667b80a1d18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2026-08-16T01:22:05.189Z</dcterms:created>
  <dcterms:modified xsi:type="dcterms:W3CDTF">2026-08-16T01:22:05.189Z</dcterms:modified>
</cp:coreProperties>
</file>

<file path=docProps/custom.xml><?xml version="1.0" encoding="utf-8"?>
<Properties xmlns="http://schemas.openxmlformats.org/officeDocument/2006/custom-properties" xmlns:vt="http://schemas.openxmlformats.org/officeDocument/2006/docPropsVTypes"/>
</file>