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206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—24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83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81 of the 83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62 of 83 cell representatives unchanged, with the 11 changed and 10 dropped cells falling mainly among the disaggregated AANHPI subgroups and, in smaller numbers, the receptor-subtype, age-specific, and Middle Eastern cells; restricting to directly reported estimates left 31 unchanged (5 changed, 47 dropped); restricting to NHW-comparator estimates left 64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(36 of the 83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d02d09de366b498f4c165925784aed568ecb4b.png"/><Relationship Id="rId8" Type="http://schemas.openxmlformats.org/officeDocument/2006/relationships/image" Target="media/784963a3021af25b050f7127d7dc51e7d721feff.png"/><Relationship Id="rId9" Type="http://schemas.openxmlformats.org/officeDocument/2006/relationships/image" Target="media/d1eb7530e6a39cf9939b6c538f1d1de237d8c35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2026-09-12T11:08:20.505Z</dcterms:created>
  <dcterms:modified xsi:type="dcterms:W3CDTF">2026-09-12T11:08:20.505Z</dcterms:modified>
</cp:coreProperties>
</file>

<file path=docProps/custom.xml><?xml version="1.0" encoding="utf-8"?>
<Properties xmlns="http://schemas.openxmlformats.org/officeDocument/2006/custom-properties" xmlns:vt="http://schemas.openxmlformats.org/officeDocument/2006/docPropsVTypes"/>
</file>