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 2025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 2006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2016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 2004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2026</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 2024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2012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 2017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 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 2015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 2015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 2004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(0.602-0.797)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0.0299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(0.605-0.793)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0.580-0.827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(0.732-0.864)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(0.727-0.870)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0.700-0.903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0.934 (0.912-0.957)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(0.907-0.963)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0.0018</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0.902-0.969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(0.712-0.756)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(0.715-0.753)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0.707-0.762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(0.494-1.181)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0.0981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0.045-12.907</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0.4740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0.001-204.260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(1.200-1.299)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0.983-1.585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(0.659-0.836)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0.344-1.600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(1.892-2.126)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1.373-2.929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(0.823-0.980)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0.510-1.580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r>
    </w:tbl>
    <w:p>
      <w:pPr>
        <w:spacing w:after="80"/>
      </w:pPr>
    </w:p>
    <w:p>
      <w:pPr>
        <w:spacing w:after="80"/>
      </w:pPr>
      <w:r>
        <w:rPr>
          <w:rFonts w:ascii="Malgun Gothic" w:cs="Malgun Gothic" w:eastAsia="Malgun Gothic" w:hAnsi="Malgun Gothic"/>
          <w:i/>
          <w:iCs/>
          <w:sz w:val="18"/>
          <w:szCs w:val="18"/>
        </w:rPr>
        <w:t xml:space="preserve">Across the four cells with ≥3 estimates (Black, Hispanic, Asian/Pacific Islander, American Indian/Alaska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and Pacific Islander (API)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Jemal 2024, Sung 2026, Sangaramoorthy 2022, Ellington 2022, Pinheiro 2009, Wu 2004, Miller 2008.</w:t>
      </w:r>
    </w:p>
    <w:p>
      <w:pPr>
        <w:spacing w:after="80"/>
      </w:pPr>
      <w:r>
        <w:rPr>
          <w:rFonts w:ascii="Malgun Gothic" w:cs="Malgun Gothic" w:eastAsia="Malgun Gothic" w:hAnsi="Malgun Gothic"/>
          <w:i w:val="false"/>
          <w:iCs w:val="false"/>
          <w:sz w:val="18"/>
          <w:szCs w:val="18"/>
        </w:rPr>
        <w:t xml:space="preserve">• point only (no CI): Kohler 2015, Liu 2012, Anderson 2008, Keegan 2010, MMWR 2016, Lund 2010,</w:t>
      </w:r>
    </w:p>
    <w:p>
      <w:pPr>
        <w:spacing w:after="80"/>
      </w:pPr>
      <w:r>
        <w:rPr>
          <w:rFonts w:ascii="Malgun Gothic" w:cs="Malgun Gothic" w:eastAsia="Malgun Gothic" w:hAnsi="Malgun Gothic"/>
          <w:i w:val="false"/>
          <w:iCs w:val="false"/>
          <w:sz w:val="18"/>
          <w:szCs w:val="18"/>
        </w:rPr>
        <w:t xml:space="preserve">• Gomez 2007, Clegg 2009, Gopalani 2020, McCracken 2007.</w:t>
      </w:r>
    </w:p>
    <w:p>
      <w:pPr>
        <w:spacing w:after="80"/>
      </w:pPr>
      <w:r>
        <w:rPr>
          <w:rFonts w:ascii="Malgun Gothic" w:cs="Malgun Gothic" w:eastAsia="Malgun Gothic" w:hAnsi="Malgun Gothic"/>
          <w:i w:val="false"/>
          <w:iCs w:val="false"/>
          <w:sz w:val="18"/>
          <w:szCs w:val="18"/>
        </w:rPr>
        <w:t xml:space="preserve">• Elaborated elsewhere: (§1), Sung 2026 &amp; (§4).</w:t>
      </w:r>
    </w:p>
    <w:p>
      <w:pPr>
        <w:spacing w:after="80"/>
      </w:pPr>
      <w:r>
        <w:rPr>
          <w:rFonts w:ascii="Malgun Gothic" w:cs="Malgun Gothic" w:eastAsia="Malgun Gothic" w:hAnsi="Malgun Gothic"/>
          <w:i w:val="false"/>
          <w:iCs w:val="false"/>
          <w:sz w:val="18"/>
          <w:szCs w:val="18"/>
        </w:rPr>
        <w:t xml:space="preserve">• Jemal 2024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MMWR 2016 use "White"/"Black" not NH-stratified (MMWR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Anderson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ANTR 2021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Howe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Sung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Kohler 2015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Representative IRRs — disaggregated Asian/NHPI subgroups</w:t>
      </w:r>
    </w:p>
    <w:p>
      <w:pPr>
        <w:spacing w:after="80"/>
      </w:pPr>
      <w:r>
        <w:rPr>
          <w:rFonts w:ascii="Malgun Gothic" w:cs="Malgun Gothic" w:eastAsia="Malgun Gothic" w:hAnsi="Malgun Gothic"/>
          <w:i/>
          <w:iCs/>
          <w:sz w:val="18"/>
          <w:szCs w:val="18"/>
        </w:rPr>
        <w:t xml:space="preserve">One representative estimate per subgroup (one per registry family).</w:t>
      </w:r>
    </w:p>
    <w:p>
      <w:pPr>
        <w:jc w:val="center"/>
      </w:pPr>
      <w:r>
        <w:drawing>
          <wp:inline distT="0" distB="0" distL="0" distR="0">
            <wp:extent cx="6477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54102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Representative IRRs — aggregate groups, Hispanic origin, AI/AN region, MENA</w:t>
      </w:r>
    </w:p>
    <w:p>
      <w:pPr>
        <w:jc w:val="center"/>
      </w:pPr>
      <w:r>
        <w:drawing>
          <wp:inline distT="0" distB="0" distL="0" distR="0">
            <wp:extent cx="64770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0863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4.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5.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6.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a195840457919e809dc6c288edc5c8ff24e4035d.png"/><Relationship Id="rId9" Type="http://schemas.openxmlformats.org/officeDocument/2006/relationships/image" Target="media/b628ce1d3cdf496eb8632233eff210c260bc6aba.png"/><Relationship Id="rId10" Type="http://schemas.openxmlformats.org/officeDocument/2006/relationships/image" Target="media/ba63874691fe51dc55c5188912fd008acb766b0d.png"/><Relationship Id="rId11" Type="http://schemas.openxmlformats.org/officeDocument/2006/relationships/image" Target="media/44ee897959076e8399dbc7e2abb2298fe647420c.png"/><Relationship Id="rId12" Type="http://schemas.openxmlformats.org/officeDocument/2006/relationships/image" Target="media/97b3a4c84060ea1613fd3d50ae8001fb2394fa5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2026-08-15T03:26:42.617Z</dcterms:created>
  <dcterms:modified xsi:type="dcterms:W3CDTF">2026-08-15T03:26:42.617Z</dcterms:modified>
</cp:coreProperties>
</file>

<file path=docProps/custom.xml><?xml version="1.0" encoding="utf-8"?>
<Properties xmlns="http://schemas.openxmlformats.org/officeDocument/2006/custom-properties" xmlns:vt="http://schemas.openxmlformats.org/officeDocument/2006/docPropsVTypes"/>
</file>