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1.27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analytic cell,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w:t>
      </w:r>
    </w:p>
    <w:p>
      <w:pPr>
        <w:spacing w:after="160" w:line="360"/>
      </w:pPr>
      <w:r>
        <w:rPr>
          <w:rFonts w:ascii="Times New Roman" w:cs="Times New Roman" w:eastAsia="Times New Roman" w:hAnsi="Times New Roman"/>
          <w:color w:val="000000"/>
          <w:sz w:val="24"/>
          <w:szCs w:val="24"/>
        </w:rPr>
        <w:t xml:space="preserve">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reported rates (with a reported or Poisson-derived variance)—and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the checklist's guidance for that item asking that percentages be given with confidence intervals); three or more "No" ratings gave high risk of bias, and any other combination a moderate rating. 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one could be recovered from what the source reports. 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 Supplementary Table 6b); restricting to NHW-comparator estimates left 66 unchanged (1 changed, 18 dropped; 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follows the pattern in earlier Indian Health Service–linked regional reports,</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and the low Navajo-area rate that in the Navajo Nation registry analysis;</w:t>
      </w:r>
      <w:r>
        <w:rPr>
          <w:rFonts w:ascii="Times New Roman" w:cs="Times New Roman" w:eastAsia="Times New Roman" w:hAnsi="Times New Roman"/>
          <w:color w:val="000000"/>
          <w:sz w:val="24"/>
          <w:szCs w:val="24"/>
          <w:vertAlign w:val="superscript"/>
        </w:rPr>
        <w:t xml:space="preserve">48</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two national figures differ substantially—0.56 from an unlinked source and 0.87 from an IHS-linked one—but they come from separate studies, so the gap cannot be read as the effect of linkage alone. Three differences run together. The unlinked estimate covers 1999–2015 and the IHS-linked one 2010–2015, and the AI/AN ratio rose over that interval. The IHS-linked figure is confined to Purchased/Referred Care Delivery Area counties, and that restriction applies to the NHW comparison group as well, so its numerator and denominator both describe a different population from the national one. Those counties contain or adjoin federally recognized tribal lands and hold about 53% of the U.S. AI/AN population, with regional coverage from 16% in the East to all of Alaska,</w:t>
      </w:r>
      <w:r>
        <w:rPr>
          <w:rFonts w:ascii="Times New Roman" w:cs="Times New Roman" w:eastAsia="Times New Roman" w:hAnsi="Times New Roman"/>
          <w:color w:val="000000"/>
          <w:sz w:val="24"/>
          <w:szCs w:val="24"/>
          <w:vertAlign w:val="superscript"/>
        </w:rPr>
        <w:t xml:space="preserve">53</w:t>
      </w:r>
      <w:r>
        <w:rPr>
          <w:rFonts w:ascii="Times New Roman" w:cs="Times New Roman" w:eastAsia="Times New Roman" w:hAnsi="Times New Roman"/>
          <w:color w:val="000000"/>
          <w:sz w:val="24"/>
          <w:szCs w:val="24"/>
        </w:rPr>
        <w:t xml:space="preserve"> so the IHS-linked figures describe about half of this population rather than the whole of it, and the better-covered regions are those where AI/AN residents make up a larger share of the county population. Only the third difference—how AI/AN race was ascertained—is the linkage itself.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and Figure 2). 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for most of the cells each restriction could re-examine, but not uniformly. Cells that no estimate could fill under a restriction were dropped, and a dropped cell is untested under that restriction rather than confirmed by it—the directly-reported restriction alone leaves 46 of the 85 cells unexamined, because registries publish rates rather than ratios. Standard-population differences changed little. The low-risk-of-bias restriction moved the most cells (19 of the 66 it could re-examine), concentrated in the disaggregated AANHPI subgroups, the age-specific cells whose estimates sit near the NHW rate, as with the Japanese cell above, and the AI/AN cells. The AI/AN change is the largest, and it turns on how uncertainty was reported rather than on a difference in bias. The national aggregate's representative—the 2010–2015 IHS-linked estimate of 0.87—is rated moderate only because it prints no confidence interval, so the restriction replaces it with the 1999–2004 IHS-linked estimate of 0.63, which does print intervals. The gap between the two is the rise over time described above, not two sources disagreeing about one period. That substitution nonetheless moves AI/AN below Hispanic/Latina women, so the ordering of the aggregates is not preserved under that restriction, and neither the ordering nor a few near-null subgroup signs should be read as established.</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 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2240" w:h="15840"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1080" w:right="1080" w:bottom="1080" w:left="108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Figures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r>
        <w:br w:type="page"/>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120" w:line="260"/>
      </w:pPr>
      <w:r>
        <w:rPr>
          <w:rFonts w:ascii="Malgun Gothic" w:cs="Malgun Gothic" w:eastAsia="Malgun Gothic" w:hAnsi="Malgun Gothic"/>
          <w:i/>
          <w:iCs/>
          <w:sz w:val="16"/>
          <w:szCs w:val="16"/>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2026-09-23T09:26:59.747Z</dcterms:created>
  <dcterms:modified xsi:type="dcterms:W3CDTF">2026-09-23T09:26:59.747Z</dcterms:modified>
</cp:coreProperties>
</file>

<file path=docProps/custom.xml><?xml version="1.0" encoding="utf-8"?>
<Properties xmlns="http://schemas.openxmlformats.org/officeDocument/2006/custom-properties" xmlns:vt="http://schemas.openxmlformats.org/officeDocument/2006/docPropsVTypes"/>
</file>