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pPr>
      <w:r>
        <w:rPr>
          <w:rFonts w:ascii="Malgun Gothic" w:cs="Malgun Gothic" w:eastAsia="Malgun Gothic" w:hAnsi="Malgun Gothic"/>
          <w:b/>
          <w:bCs/>
          <w:color w:val="000000"/>
          <w:sz w:val="30"/>
          <w:szCs w:val="30"/>
        </w:rPr>
        <w:t xml:space="preserve">본문 수정 내역 (검토용)</w:t>
      </w:r>
    </w:p>
    <w:p>
      <w:pPr>
        <w:spacing w:after="120" w:line="276"/>
      </w:pPr>
      <w:r>
        <w:rPr>
          <w:rFonts w:ascii="Malgun Gothic" w:cs="Malgun Gothic" w:eastAsia="Malgun Gothic" w:hAnsi="Malgun Gothic"/>
          <w:b w:val="false"/>
          <w:bCs w:val="false"/>
          <w:color w:val="000000"/>
          <w:sz w:val="20"/>
          <w:szCs w:val="20"/>
        </w:rPr>
        <w:t xml:space="preserve">원고 본문에서 바뀐 문단만 모았습니다. </w:t>
      </w: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항목을 Word나 PDF에서 Ctrl+F로 검색하면 해당 문단으로 바로 갑니다. 표·그림·보충자료의 수치 변경은 피드백 응답서에 있습니다.</w:t>
      </w:r>
    </w:p>
    <w:p>
      <w:pPr>
        <w:spacing w:after="120" w:line="276"/>
      </w:pPr>
      <w:r>
        <w:rPr>
          <w:rFonts w:ascii="Malgun Gothic" w:cs="Malgun Gothic" w:eastAsia="Malgun Gothic" w:hAnsi="Malgun Gothic"/>
          <w:b w:val="false"/>
          <w:bCs w:val="false"/>
          <w:color w:val="000000"/>
          <w:sz w:val="20"/>
          <w:szCs w:val="20"/>
        </w:rPr>
        <w:t xml:space="preserve">범위: `42fa0b5` … `HEAD` (42개 문단)</w:t>
      </w:r>
    </w:p>
    <w:p>
      <w:pPr>
        <w:spacing w:after="120" w:before="260"/>
      </w:pPr>
      <w:r>
        <w:rPr>
          <w:rFonts w:ascii="Malgun Gothic" w:cs="Malgun Gothic" w:eastAsia="Malgun Gothic" w:hAnsi="Malgun Gothic"/>
          <w:b/>
          <w:bCs/>
          <w:color w:val="000000"/>
          <w:sz w:val="24"/>
          <w:szCs w:val="24"/>
        </w:rPr>
        <w:t xml:space="preserve">Abstract</w:t>
      </w:r>
    </w:p>
    <w:p>
      <w:pPr>
        <w:spacing w:after="120" w:line="276"/>
      </w:pPr>
      <w:r>
        <w:rPr>
          <w:rFonts w:ascii="Malgun Gothic" w:cs="Malgun Gothic" w:eastAsia="Malgun Gothic" w:hAnsi="Malgun Gothic"/>
          <w:b w:val="false"/>
          <w:bCs w:val="false"/>
          <w:color w:val="000000"/>
          <w:sz w:val="20"/>
          <w:szCs w:val="20"/>
        </w:rPr>
        <w:t xml:space="preserve">### 1. Abstract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`Within-group estimates ranged widely—0.16 (Hmong) to 1.27 (Native Hawaiian) across AANHPI subgroups,…`</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Within-group estimates ranged widely—0.16 (Hmong) to 1.21 (Native Hawaiian) across AANHPI subgroups, 0.51 (Mexican) to 0.83 (Puerto Rican) by Hispanic origin, and 0.49 (Navajo area) to 1.33 (Southern Plains) across AI/AN regions.</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Within-group estimates ranged widely—0.16 (Hmong) to 1.27 (Native Hawaiian) across AANHPI subgroups, 0.51 (Mexican) to 0.83 (Puerto Rican) by Hispanic origin, and 0.49 (Navajo area) to 1.33 (Southern Plains) across AI/AN regions.</w:t>
      </w:r>
    </w:p>
    <w:p>
      <w:pPr>
        <w:spacing w:after="120" w:line="276"/>
      </w:pPr>
      <w:r>
        <w:rPr>
          <w:rFonts w:ascii="Malgun Gothic" w:cs="Malgun Gothic" w:eastAsia="Malgun Gothic" w:hAnsi="Malgun Gothic"/>
          <w:b w:val="false"/>
          <w:bCs w:val="false"/>
          <w:color w:val="000000"/>
          <w:sz w:val="20"/>
          <w:szCs w:val="20"/>
        </w:rPr>
        <w:t xml:space="preserve">*사유: Fix the Abstract's Native Hawaiian value and what Supplementary Table 4 says it holds*</w:t>
      </w:r>
    </w:p>
    <w:p>
      <w:pPr>
        <w:spacing w:after="120" w:line="276"/>
      </w:pPr>
      <w:r>
        <w:rPr>
          <w:rFonts w:ascii="Malgun Gothic" w:cs="Malgun Gothic" w:eastAsia="Malgun Gothic" w:hAnsi="Malgun Gothic"/>
          <w:b w:val="false"/>
          <w:bCs w:val="false"/>
          <w:color w:val="000000"/>
          <w:sz w:val="20"/>
          <w:szCs w:val="20"/>
        </w:rPr>
        <w:t xml:space="preserve">### 2. Abstract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`Each was an incidence rate ratio (IRR) versus NHW women, or versus…`</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Each was an incidence rate ratio (IRR) versus NHW women, or versus an unstratified White reference in a minority of cells; ratios not reported directly were recomputed from one master dataset, and risk of bias was assessed with the Joanna Briggs Institute checklist for incidence data.</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Each was an incidence rate ratio (IRR) versus NHW women, or versus an unstratified White reference in 19 of the 85 cells; ratios not reported directly were recomputed from one master dataset, and risk of bias was assessed with the Joanna Briggs Institute checklist for incidence data.</w:t>
      </w:r>
    </w:p>
    <w:p>
      <w:pPr>
        <w:spacing w:after="120" w:line="276"/>
      </w:pPr>
      <w:r>
        <w:rPr>
          <w:rFonts w:ascii="Malgun Gothic" w:cs="Malgun Gothic" w:eastAsia="Malgun Gothic" w:hAnsi="Malgun Gothic"/>
          <w:b w:val="false"/>
          <w:bCs w:val="false"/>
          <w:color w:val="000000"/>
          <w:sz w:val="20"/>
          <w:szCs w:val="20"/>
        </w:rPr>
        <w:t xml:space="preserve">*사유: Give the number of unstratified-White cells instead of calling them a minority*</w:t>
      </w:r>
    </w:p>
    <w:p>
      <w:pPr>
        <w:spacing w:after="120" w:before="260"/>
      </w:pPr>
      <w:r>
        <w:rPr>
          <w:rFonts w:ascii="Malgun Gothic" w:cs="Malgun Gothic" w:eastAsia="Malgun Gothic" w:hAnsi="Malgun Gothic"/>
          <w:b/>
          <w:bCs/>
          <w:color w:val="000000"/>
          <w:sz w:val="24"/>
          <w:szCs w:val="24"/>
        </w:rPr>
        <w:t xml:space="preserve">Introduction</w:t>
      </w:r>
    </w:p>
    <w:p>
      <w:pPr>
        <w:spacing w:after="120" w:line="276"/>
      </w:pPr>
      <w:r>
        <w:rPr>
          <w:rFonts w:ascii="Malgun Gothic" w:cs="Malgun Gothic" w:eastAsia="Malgun Gothic" w:hAnsi="Malgun Gothic"/>
          <w:b w:val="false"/>
          <w:bCs w:val="false"/>
          <w:color w:val="000000"/>
          <w:sz w:val="20"/>
          <w:szCs w:val="20"/>
        </w:rPr>
        <w:t xml:space="preserve">### 1. Introduction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`The main analysis retains one representative population-based estimate per analytic cell, and…`</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main analysis retains one representative population-based estimate per registry family, and each contributing study was appraised with the Joanna Briggs Institute checklist for studies reporting prevalence and incidence data.</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main analysis retains one representative population-based estimate per analytic cell, and each contributing study was appraised with the Joanna Briggs Institute checklist for studies reporting prevalence and incidence data.</w:t>
      </w:r>
    </w:p>
    <w:p>
      <w:pPr>
        <w:spacing w:after="120" w:line="276"/>
      </w:pPr>
      <w:r>
        <w:rPr>
          <w:rFonts w:ascii="Malgun Gothic" w:cs="Malgun Gothic" w:eastAsia="Malgun Gothic" w:hAnsi="Malgun Gothic"/>
          <w:b w:val="false"/>
          <w:bCs w:val="false"/>
          <w:color w:val="000000"/>
          <w:sz w:val="20"/>
          <w:szCs w:val="20"/>
        </w:rPr>
        <w:t xml:space="preserve">*사유: Feedback5 item 5: unify inclusion/exclusion and synthesis-classification rules*</w:t>
      </w:r>
    </w:p>
    <w:p>
      <w:pPr>
        <w:spacing w:after="120" w:before="260"/>
      </w:pPr>
      <w:r>
        <w:rPr>
          <w:rFonts w:ascii="Malgun Gothic" w:cs="Malgun Gothic" w:eastAsia="Malgun Gothic" w:hAnsi="Malgun Gothic"/>
          <w:b/>
          <w:bCs/>
          <w:color w:val="000000"/>
          <w:sz w:val="24"/>
          <w:szCs w:val="24"/>
        </w:rPr>
        <w:t xml:space="preserve">Methods</w:t>
      </w:r>
    </w:p>
    <w:p>
      <w:pPr>
        <w:spacing w:after="120" w:line="276"/>
      </w:pPr>
      <w:r>
        <w:rPr>
          <w:rFonts w:ascii="Malgun Gothic" w:cs="Malgun Gothic" w:eastAsia="Malgun Gothic" w:hAnsi="Malgun Gothic"/>
          <w:b w:val="false"/>
          <w:bCs w:val="false"/>
          <w:color w:val="000000"/>
          <w:sz w:val="20"/>
          <w:szCs w:val="20"/>
        </w:rPr>
        <w:t xml:space="preserve">### 1. Eligibility criteria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`Recurring statistics series—the annual cancer-statistics reports and the Annual Report to the…`</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Recurring statistics series—the annual cancer-statistics reports and the Annual Report to the Nation—re-report incidence for largely the same registries and periods from one edition to the next.</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For each series the most recent eligible edition was retained and the earlier editions were excluded as duplicates.</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Because a retained edition re-reports registry incidence that the dedicated primary study for that registry and period already provides, it was not treated as a candidate representative and contributes only to the narrative synthesis.</w:t>
      </w:r>
    </w:p>
    <w:p>
      <w:pPr>
        <w:spacing w:after="120" w:line="276"/>
      </w:pPr>
      <w:r>
        <w:rPr>
          <w:rFonts w:ascii="Malgun Gothic" w:cs="Malgun Gothic" w:eastAsia="Malgun Gothic" w:hAnsi="Malgun Gothic"/>
          <w:b w:val="false"/>
          <w:bCs w:val="false"/>
          <w:color w:val="000000"/>
          <w:sz w:val="20"/>
          <w:szCs w:val="20"/>
        </w:rPr>
        <w:t xml:space="preserve">*사유: Feedback5 item 5: unify inclusion/exclusion and synthesis-classification rules*</w:t>
      </w:r>
    </w:p>
    <w:p>
      <w:pPr>
        <w:spacing w:after="120" w:line="276"/>
      </w:pPr>
      <w:r>
        <w:rPr>
          <w:rFonts w:ascii="Malgun Gothic" w:cs="Malgun Gothic" w:eastAsia="Malgun Gothic" w:hAnsi="Malgun Gothic"/>
          <w:b w:val="false"/>
          <w:bCs w:val="false"/>
          <w:color w:val="000000"/>
          <w:sz w:val="20"/>
          <w:szCs w:val="20"/>
        </w:rPr>
        <w:t xml:space="preserve">### 2. Eligibility criteria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`Studies were eligible for inclusion if they reported invasive breast cancer incidence…`</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A publication that re-reported an estimate already captured from the same registry, diagnosis period, and population was excluded as a duplicate dataset; a publication drawing on the same registry family but a different period, region, or subset provided a distinct estimate and was retained as an overlapping estimate for the sensitivity analysis, not excluded; overlap handling is described under Selection of a representative population-based estimate.</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Recurring statistics series—the annual cancer-statistics reports and the Annual Report to the Nation—re-report incidence for largely the same registries and periods from one edition to the next.</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For each series the most recent eligible edition was retained and the earlier editions were excluded as duplicates.</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Because a retained edition re-reports registry incidence that the dedicated primary study for that registry and period already provides, it was not treated as a candidate representative and contributes only to the narrative synthesis.</w:t>
      </w:r>
    </w:p>
    <w:p>
      <w:pPr>
        <w:spacing w:after="120" w:line="276"/>
      </w:pPr>
      <w:r>
        <w:rPr>
          <w:rFonts w:ascii="Malgun Gothic" w:cs="Malgun Gothic" w:eastAsia="Malgun Gothic" w:hAnsi="Malgun Gothic"/>
          <w:b w:val="false"/>
          <w:bCs w:val="false"/>
          <w:color w:val="000000"/>
          <w:sz w:val="20"/>
          <w:szCs w:val="20"/>
        </w:rPr>
        <w:t xml:space="preserve">*사유: State the principle separating excluded duplicates from narrative retention*</w:t>
      </w:r>
    </w:p>
    <w:p>
      <w:pPr>
        <w:spacing w:after="120" w:line="276"/>
      </w:pPr>
      <w:r>
        <w:rPr>
          <w:rFonts w:ascii="Malgun Gothic" w:cs="Malgun Gothic" w:eastAsia="Malgun Gothic" w:hAnsi="Malgun Gothic"/>
          <w:b w:val="false"/>
          <w:bCs w:val="false"/>
          <w:color w:val="000000"/>
          <w:sz w:val="20"/>
          <w:szCs w:val="20"/>
        </w:rPr>
        <w:t xml:space="preserve">### 3. Eligibility criteria — 추가</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`A publication that re-reported an estimate already captured from the same registry,…`</w:t>
      </w:r>
    </w:p>
    <w:p>
      <w:pPr>
        <w:spacing w:after="120" w:line="276"/>
      </w:pPr>
      <w:r>
        <w:rPr>
          <w:rFonts w:ascii="Malgun Gothic" w:cs="Malgun Gothic" w:eastAsia="Malgun Gothic" w:hAnsi="Malgun Gothic"/>
          <w:b/>
          <w:bCs/>
          <w:color w:val="000000"/>
          <w:sz w:val="20"/>
          <w:szCs w:val="20"/>
        </w:rPr>
        <w:t xml:space="preserve">추가된 문단</w:t>
      </w:r>
      <w:r>
        <w:rPr>
          <w:rFonts w:ascii="Malgun Gothic" w:cs="Malgun Gothic" w:eastAsia="Malgun Gothic" w:hAnsi="Malgun Gothic"/>
          <w:b w:val="false"/>
          <w:bCs w:val="false"/>
          <w:color w:val="000000"/>
          <w:sz w:val="20"/>
          <w:szCs w:val="20"/>
        </w:rPr>
        <w:t xml:space="preserve"> A publication that re-reported an estimate already captured from the same registry, diagnosis period, and population was not an independent estimate, so it was never a candidate representative. Two such cases were distinguished by whether another included publication already carries the same content. A report whose content is carried by an included publication adds nothing to the review and was excluded as a duplicate dataset: this covers the earlier editions of a recurring statistics series and the preprint or book-chapter version of an included analysis (55 reports, 51 of them earlier editions of the annual cancer-statistics reports or the Annual Report to the Nation). The most recent eligible edition of such a series is the only edition carrying that series' current account, so it was retained in the review; because the registry incidence it reports is already provided by the dedicated primary study for that registry and period, it contributes only to the narrative synthesis. Separately, a publication drawing on the same registry family but a different period, region, or subset provided a distinct estimate and was retained as an overlapping estimate for the sensitivity analysis, not excluded; overlap handling is described under Selection of a representative population-based estimate.</w:t>
      </w:r>
    </w:p>
    <w:p>
      <w:pPr>
        <w:spacing w:after="120" w:line="276"/>
      </w:pPr>
      <w:r>
        <w:rPr>
          <w:rFonts w:ascii="Malgun Gothic" w:cs="Malgun Gothic" w:eastAsia="Malgun Gothic" w:hAnsi="Malgun Gothic"/>
          <w:b w:val="false"/>
          <w:bCs w:val="false"/>
          <w:color w:val="000000"/>
          <w:sz w:val="20"/>
          <w:szCs w:val="20"/>
        </w:rPr>
        <w:t xml:space="preserve">*사유: State the principle separating excluded duplicates from narrative retention*</w:t>
      </w:r>
    </w:p>
    <w:p>
      <w:pPr>
        <w:spacing w:after="120" w:line="276"/>
      </w:pPr>
      <w:r>
        <w:rPr>
          <w:rFonts w:ascii="Malgun Gothic" w:cs="Malgun Gothic" w:eastAsia="Malgun Gothic" w:hAnsi="Malgun Gothic"/>
          <w:b w:val="false"/>
          <w:bCs w:val="false"/>
          <w:color w:val="000000"/>
          <w:sz w:val="20"/>
          <w:szCs w:val="20"/>
        </w:rPr>
        <w:t xml:space="preserve">### 4. Risk of bias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`Each study was appraised as the source of the estimates taken from…`</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Each study was appraised as the source of the estimates taken from it here, not as a whole publication: items that depend on the estimate—in particular the variance requirement in item 8—were judged on the estimates extracted for this review, counting a variance as available when the source printed an interval or when one could be recovered from what the source reports.</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A study whose extracted estimates carry no interval therefore rates "No" on item 8 whether or not the source printed the ratio itself, which places a point estimate without a variance at moderate rather than low risk of bias.</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That rating reflects incomplete reporting of uncertainty rather than evidence that the estimate is biased, and it is the reason several large registry analyses that report ratios without intervals are rated moderate.</w:t>
      </w:r>
    </w:p>
    <w:p>
      <w:pPr>
        <w:spacing w:after="120" w:line="276"/>
      </w:pPr>
      <w:r>
        <w:rPr>
          <w:rFonts w:ascii="Malgun Gothic" w:cs="Malgun Gothic" w:eastAsia="Malgun Gothic" w:hAnsi="Malgun Gothic"/>
          <w:b w:val="false"/>
          <w:bCs w:val="false"/>
          <w:color w:val="000000"/>
          <w:sz w:val="20"/>
          <w:szCs w:val="20"/>
        </w:rPr>
        <w:t xml:space="preserve">*사유: Feedback5 item 4: apply the Q8 variance criterion consistently*</w:t>
      </w:r>
    </w:p>
    <w:p>
      <w:pPr>
        <w:spacing w:after="120" w:line="276"/>
      </w:pPr>
      <w:r>
        <w:rPr>
          <w:rFonts w:ascii="Malgun Gothic" w:cs="Malgun Gothic" w:eastAsia="Malgun Gothic" w:hAnsi="Malgun Gothic"/>
          <w:b w:val="false"/>
          <w:bCs w:val="false"/>
          <w:color w:val="000000"/>
          <w:sz w:val="20"/>
          <w:szCs w:val="20"/>
        </w:rPr>
        <w:t xml:space="preserve">### 5. Risk of bias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`Each study was appraised as the source of the estimates taken from…`</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Each study was appraised as the source of the estimates taken from it here, not as a whole publication: items that depend on the estimate—in particular the variance requirement in item 8—were judged on the estimates extracted for this review, counting a variance as available when the source printed an interval or when one could be recovered from what the source reports.</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Each study was appraised as the source of the estimates taken from it here rather than as a whole publication, and the items divide accordingly.</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Items 1 to 7 describe the study and its registry—the sample frame, case ascertainment, case numbers, description of setting and population, coverage, identification of invasive breast cancer, and how race and ethnicity were measured—and were judged at that level, so they do not change with which estimates were extracted.</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Item 8 depends on the estimates themselves and was judged on those extracted for this review, a variance counting as available when the source printed an interval or when one could be recovered from what the source reports.</w:t>
      </w:r>
    </w:p>
    <w:p>
      <w:pPr>
        <w:spacing w:after="120" w:line="276"/>
      </w:pPr>
      <w:r>
        <w:rPr>
          <w:rFonts w:ascii="Malgun Gothic" w:cs="Malgun Gothic" w:eastAsia="Malgun Gothic" w:hAnsi="Malgun Gothic"/>
          <w:b w:val="false"/>
          <w:bCs w:val="false"/>
          <w:color w:val="000000"/>
          <w:sz w:val="20"/>
          <w:szCs w:val="20"/>
        </w:rPr>
        <w:t xml:space="preserve">*사유: Spell out which RoB items are judged at study level and which at estimate level*</w:t>
      </w:r>
    </w:p>
    <w:p>
      <w:pPr>
        <w:spacing w:after="120" w:line="276"/>
      </w:pPr>
      <w:r>
        <w:rPr>
          <w:rFonts w:ascii="Malgun Gothic" w:cs="Malgun Gothic" w:eastAsia="Malgun Gothic" w:hAnsi="Malgun Gothic"/>
          <w:b w:val="false"/>
          <w:bCs w:val="false"/>
          <w:color w:val="000000"/>
          <w:sz w:val="20"/>
          <w:szCs w:val="20"/>
        </w:rPr>
        <w:t xml:space="preserve">### 6. Risk of bias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`Item 9 (survey response rate) was recorded as not applicable, census-like registry…`</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Item 9 (survey response rate) was recorded as not applicable, census-like registry ascertainment having no response rate, so each study's rating used the eight applicable items: low risk of bias required at most one "No" with a "Yes" on the two key items—valid measurement (item 7, including race and ethnicity ascertainment) and appropriate analysis (item 8, age standardization with a variance); three or more "No" ratings gave high risk of bias, and any other combination a moderate rating.</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Item 9 (survey response rate) was recorded as not applicable, census-like registry ascertainment having no response rate, so each study's rating used the eight applicable items: low risk of bias required at most one "No" with a "Yes" on the two key items—valid measurement (item 7, including race and ethnicity ascertainment) and appropriate analysis (item 8, age standardization with a variance, the checklist's guidance for that item asking that percentages be given with confidence intervals); three or more "No" ratings gave high risk of bias, and any other combination a moderate rating.</w:t>
      </w:r>
    </w:p>
    <w:p>
      <w:pPr>
        <w:spacing w:after="120" w:line="276"/>
      </w:pPr>
      <w:r>
        <w:rPr>
          <w:rFonts w:ascii="Malgun Gothic" w:cs="Malgun Gothic" w:eastAsia="Malgun Gothic" w:hAnsi="Malgun Gothic"/>
          <w:b w:val="false"/>
          <w:bCs w:val="false"/>
          <w:color w:val="000000"/>
          <w:sz w:val="20"/>
          <w:szCs w:val="20"/>
        </w:rPr>
        <w:t xml:space="preserve">*사유: Settle the item 8 question from the checklist's own guidance*</w:t>
      </w:r>
    </w:p>
    <w:p>
      <w:pPr>
        <w:spacing w:after="120" w:line="276"/>
      </w:pPr>
      <w:r>
        <w:rPr>
          <w:rFonts w:ascii="Malgun Gothic" w:cs="Malgun Gothic" w:eastAsia="Malgun Gothic" w:hAnsi="Malgun Gothic"/>
          <w:b w:val="false"/>
          <w:bCs w:val="false"/>
          <w:color w:val="000000"/>
          <w:sz w:val="20"/>
          <w:szCs w:val="20"/>
        </w:rPr>
        <w:t xml:space="preserve">### 7. Risk of bias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`Item 9 (survey response rate) was recorded as not applicable, census-like registry…`</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Item 9 (survey response rate) was recorded as not applicable, census-like registry ascertainment having no response rate, so each study's rating used the eight applicable items: low risk of bias required at most one "No" with a "Yes" on the two key items—valid measurement (item 7, including race and ethnicity ascertainment) and appropriate analysis (item 8, age standardization with a variance, the checklist's guidance for that item asking that percentages be given with confidence intervals); three or more "No" ratings gave high risk of bias, and any other combination a moderate rating.</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Item 9 (survey response rate) was recorded as not applicable, census-like registry ascertainment having no response rate, so each study's rating used the eight applicable items: low risk of bias required at most one "No" with a "Yes" on the two key items—valid measurement (item 7, including race and ethnicity ascertainment) and appropriate analysis (item 8, age standardization with a variance); three or more "No" ratings gave high risk of bias, and any other combination a moderate rating.</w:t>
      </w:r>
    </w:p>
    <w:p>
      <w:pPr>
        <w:spacing w:after="120" w:line="276"/>
      </w:pPr>
      <w:r>
        <w:rPr>
          <w:rFonts w:ascii="Malgun Gothic" w:cs="Malgun Gothic" w:eastAsia="Malgun Gothic" w:hAnsi="Malgun Gothic"/>
          <w:b w:val="false"/>
          <w:bCs w:val="false"/>
          <w:color w:val="000000"/>
          <w:sz w:val="20"/>
          <w:szCs w:val="20"/>
        </w:rPr>
        <w:t xml:space="preserve">*사유: Keep the item 8 justification out of Methods*</w:t>
      </w:r>
    </w:p>
    <w:p>
      <w:pPr>
        <w:spacing w:after="120" w:line="276"/>
      </w:pPr>
      <w:r>
        <w:rPr>
          <w:rFonts w:ascii="Malgun Gothic" w:cs="Malgun Gothic" w:eastAsia="Malgun Gothic" w:hAnsi="Malgun Gothic"/>
          <w:b w:val="false"/>
          <w:bCs w:val="false"/>
          <w:color w:val="000000"/>
          <w:sz w:val="20"/>
          <w:szCs w:val="20"/>
        </w:rPr>
        <w:t xml:space="preserve">### 8. Risk of bias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`Item 9 (survey response rate) was recorded as not applicable, census-like registry…`</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Item 9 (survey response rate) was recorded as not applicable, census-like registry ascertainment having no response rate, so each study's rating used the eight applicable items: low risk of bias required at most one "No" with a "Yes" on the two key items—valid measurement (item 7, including race and ethnicity ascertainment) and appropriate analysis (item 8, age standardization with a variance); three or more "No" ratings gave high risk of bias, and any other combination a moderate rating.</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Item 9 (survey response rate) was recorded as not applicable, census-like registry ascertainment having no response rate, so each study's rating used the eight applicable items.</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checklist records a Yes, No or Unclear for each item and leaves the summary judgement to the reviewer, so the following rule was set for this review: low risk of bias required at most one "No" with a "Yes" on the two items treated here as key—valid measurement (item 7, including race and ethnicity ascertainment) and appropriate analysis (item 8, age standardization with a variance); three or more "No" ratings gave high risk of bias, and any other combination a moderate rating.</w:t>
      </w:r>
    </w:p>
    <w:p>
      <w:pPr>
        <w:spacing w:after="120" w:line="276"/>
      </w:pPr>
      <w:r>
        <w:rPr>
          <w:rFonts w:ascii="Malgun Gothic" w:cs="Malgun Gothic" w:eastAsia="Malgun Gothic" w:hAnsi="Malgun Gothic"/>
          <w:b w:val="false"/>
          <w:bCs w:val="false"/>
          <w:color w:val="000000"/>
          <w:sz w:val="20"/>
          <w:szCs w:val="20"/>
        </w:rPr>
        <w:t xml:space="preserve">*사유: Say in Methods that the rating rule is this review's, not the checklist's*</w:t>
      </w:r>
    </w:p>
    <w:p>
      <w:pPr>
        <w:spacing w:after="120" w:line="276"/>
      </w:pPr>
      <w:r>
        <w:rPr>
          <w:rFonts w:ascii="Malgun Gothic" w:cs="Malgun Gothic" w:eastAsia="Malgun Gothic" w:hAnsi="Malgun Gothic"/>
          <w:b w:val="false"/>
          <w:bCs w:val="false"/>
          <w:color w:val="000000"/>
          <w:sz w:val="20"/>
          <w:szCs w:val="20"/>
        </w:rPr>
        <w:t xml:space="preserve">### 9. Risk of bias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`The checklist records a Yes, No, Unclear or Not applicable for each…`</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checklist records a Yes, No or Unclear for each item and leaves the summary judgement to the reviewer, so the following rule was set for this review: low risk of bias required at most one "No" with a "Yes" on the two items treated here as key—valid measurement (item 7, including race and ethnicity ascertainment) and appropriate analysis (item 8, age standardization with a variance); three or more "No" ratings gave high risk of bias, and any other combination a moderate rating.</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checklist records a Yes, No, Unclear or Not applicable for each item and summarises a study as include, exclude or seek further information rather than as a graded rating, so the following rule was set for this review: low risk of bias required at most one "No" with a "Yes" on the two items treated here as key—valid measurement (item 7, including race and ethnicity ascertainment) and appropriate analysis (item 8, age standardization with a variance); three or more "No" ratings gave high risk of bias, and any other combination a moderate rating.</w:t>
      </w:r>
    </w:p>
    <w:p>
      <w:pPr>
        <w:spacing w:after="120" w:line="276"/>
      </w:pPr>
      <w:r>
        <w:rPr>
          <w:rFonts w:ascii="Malgun Gothic" w:cs="Malgun Gothic" w:eastAsia="Malgun Gothic" w:hAnsi="Malgun Gothic"/>
          <w:b w:val="false"/>
          <w:bCs w:val="false"/>
          <w:color w:val="000000"/>
          <w:sz w:val="20"/>
          <w:szCs w:val="20"/>
        </w:rPr>
        <w:t xml:space="preserve">*사유: Describe the checklist's own output exactly*</w:t>
      </w:r>
    </w:p>
    <w:p>
      <w:pPr>
        <w:spacing w:after="120" w:line="276"/>
      </w:pPr>
      <w:r>
        <w:rPr>
          <w:rFonts w:ascii="Malgun Gothic" w:cs="Malgun Gothic" w:eastAsia="Malgun Gothic" w:hAnsi="Malgun Gothic"/>
          <w:b w:val="false"/>
          <w:bCs w:val="false"/>
          <w:color w:val="000000"/>
          <w:sz w:val="20"/>
          <w:szCs w:val="20"/>
        </w:rPr>
        <w:t xml:space="preserve">### 10. Selection of a representative population-based estimate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`Where a cell had no NHW-comparator source—18 cells, being 16 of the…`</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Where a cell had no NHW-comparator source—the receptor-defined subtype cells and two age-specific Black cells—the estimate using an unstratified White comparator was kept as the representative and marked †.</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Where a cell had no NHW-comparator source—18 cells, being 16 of the 36 receptor-defined subtype cells and the two Black cells above and below age 40—the estimate using an unstratified White comparator was kept as the representative and marked †.</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One further cell, Alaska Native, is marked † although an NHW-comparator source exists for it, the broader-coverage rule above having selected the registry that reports against an unstratified White reference; 19 of the 85 representatives carry the mark in all.</w:t>
      </w:r>
    </w:p>
    <w:p>
      <w:pPr>
        <w:spacing w:after="120" w:line="276"/>
      </w:pPr>
      <w:r>
        <w:rPr>
          <w:rFonts w:ascii="Malgun Gothic" w:cs="Malgun Gothic" w:eastAsia="Malgun Gothic" w:hAnsi="Malgun Gothic"/>
          <w:b w:val="false"/>
          <w:bCs w:val="false"/>
          <w:color w:val="000000"/>
          <w:sz w:val="20"/>
          <w:szCs w:val="20"/>
        </w:rPr>
        <w:t xml:space="preserve">*사유: Give the number of unstratified-White cells instead of calling them a minority*</w:t>
      </w:r>
    </w:p>
    <w:p>
      <w:pPr>
        <w:spacing w:after="120" w:line="276"/>
      </w:pPr>
      <w:r>
        <w:rPr>
          <w:rFonts w:ascii="Malgun Gothic" w:cs="Malgun Gothic" w:eastAsia="Malgun Gothic" w:hAnsi="Malgun Gothic"/>
          <w:b w:val="false"/>
          <w:bCs w:val="false"/>
          <w:color w:val="000000"/>
          <w:sz w:val="20"/>
          <w:szCs w:val="20"/>
        </w:rPr>
        <w:t xml:space="preserve">### 11. Selection of a representative population-based estimate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`Where a cell had no NHW-comparator source—18 cells, being 16 of the…`</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Where a cell had no NHW-comparator source—18 cells, being 16 of the 36 receptor-defined subtype cells and the two Black cells above and below age 40—the estimate using an unstratified White comparator was kept as the representative and marked †.</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One further cell, Alaska Native, is marked † although an NHW-comparator source exists for it, the broader-coverage rule above having selected the registry that reports against an unstratified White reference; 19 of the 85 representatives carry the mark in all.</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Where a cell had no NHW-comparator source—18 cells, being 16 of the 36 receptor-defined subtype cells and the two Black cells above and below age 40—the estimate using an unstratified White comparator was kept as the representative.</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One further cell, Alaska Native, also rests on one although an NHW-comparator source exists for it, the broader-coverage rule above having selected the registry that reports against an unstratified White reference, so 19 of the 85 representatives use an unstratified White reference in all.</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Each estimate's comparator is named in Supplementary Table 4; where such a cell appears in the main text it is marked †.</w:t>
      </w:r>
    </w:p>
    <w:p>
      <w:pPr>
        <w:spacing w:after="120" w:line="276"/>
      </w:pPr>
      <w:r>
        <w:rPr>
          <w:rFonts w:ascii="Malgun Gothic" w:cs="Malgun Gothic" w:eastAsia="Malgun Gothic" w:hAnsi="Malgun Gothic"/>
          <w:b w:val="false"/>
          <w:bCs w:val="false"/>
          <w:color w:val="000000"/>
          <w:sz w:val="20"/>
          <w:szCs w:val="20"/>
        </w:rPr>
        <w:t xml:space="preserve">*사유: Stop pointing at daggers in Supplementary Table 4, which has none*</w:t>
      </w:r>
    </w:p>
    <w:p>
      <w:pPr>
        <w:spacing w:after="120" w:line="276"/>
      </w:pPr>
      <w:r>
        <w:rPr>
          <w:rFonts w:ascii="Malgun Gothic" w:cs="Malgun Gothic" w:eastAsia="Malgun Gothic" w:hAnsi="Malgun Gothic"/>
          <w:b w:val="false"/>
          <w:bCs w:val="false"/>
          <w:color w:val="000000"/>
          <w:sz w:val="20"/>
          <w:szCs w:val="20"/>
        </w:rPr>
        <w:t xml:space="preserve">### 12. Statistical analysis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`Two sources reported a standardized incidence ratio (SIR) rather than an IRR—South…`</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One source reported a standardized incidence ratio (SIR) rather than an IRR (South Asian women against a US White standard); because an SIR indirectly standardizes to the reference population's age structure rather than expressing two directly standardized rates on a common standard, it was read on the same relative-to-White scale but labelled as an SIR (Supplementary Table 4) and excluded from the directly-reported-IRR sensitivity analysis.</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Two sources reported a standardized incidence ratio (SIR) rather than an IRR—South Asian women and Alaska Native women, each against the US White population; because an SIR indirectly standardizes to the reference population's age structure rather than expressing two directly standardized rates on a common standard, both were read on the same relative-to-White scale but labelled as SIRs (Supplementary Table 4) and excluded from the directly-reported-IRR sensitivity analysis.</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Neither is the representative for its cell, so no estimate reported in the main text is an SIR.</w:t>
      </w:r>
    </w:p>
    <w:p>
      <w:pPr>
        <w:spacing w:after="120" w:line="276"/>
      </w:pPr>
      <w:r>
        <w:rPr>
          <w:rFonts w:ascii="Malgun Gothic" w:cs="Malgun Gothic" w:eastAsia="Malgun Gothic" w:hAnsi="Malgun Gothic"/>
          <w:b w:val="false"/>
          <w:bCs w:val="false"/>
          <w:color w:val="000000"/>
          <w:sz w:val="20"/>
          <w:szCs w:val="20"/>
        </w:rPr>
        <w:t xml:space="preserve">*사유: There are two SIRs, not one, and neither reaches the main text*</w:t>
      </w:r>
    </w:p>
    <w:p>
      <w:pPr>
        <w:spacing w:after="120" w:line="276"/>
      </w:pPr>
      <w:r>
        <w:rPr>
          <w:rFonts w:ascii="Malgun Gothic" w:cs="Malgun Gothic" w:eastAsia="Malgun Gothic" w:hAnsi="Malgun Gothic"/>
          <w:b w:val="false"/>
          <w:bCs w:val="false"/>
          <w:color w:val="000000"/>
          <w:sz w:val="20"/>
          <w:szCs w:val="20"/>
        </w:rPr>
        <w:t xml:space="preserve">### 13. Study selection and data extraction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`Each estimate was labelled by provenance—directly reported IRR or SIR, or computed…`</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Each estimate was labelled by provenance—directly reported IRR or SIR, or computed from reported rates (with a reported or Poisson-derived variance)—and the label was retained for risk-of-bias scoring and for a provenance-restricted sensitivity analysis.</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Each estimate was labelled by provenance—directly reported IRR or SIR, or computed from the rates the source reported (with a reported or Poisson-derived variance, or none where neither was available)—and the label was retained for risk-of-bias scoring and for a provenance-restricted sensitivity analysis.</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Every estimate was recorded with the minority group as the numerator and the White reference as the denominator.</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Where a source reported a ratio the other way round, it was inverted to that direction and labelled as inverted rather than recomputed, which happened once: a study that reported its overall Black comparison as NHW over Black while giving its other group comparisons the usual way (Supplementary Note 1).</w:t>
      </w:r>
    </w:p>
    <w:p>
      <w:pPr>
        <w:spacing w:after="120" w:line="276"/>
      </w:pPr>
      <w:r>
        <w:rPr>
          <w:rFonts w:ascii="Malgun Gothic" w:cs="Malgun Gothic" w:eastAsia="Malgun Gothic" w:hAnsi="Malgun Gothic"/>
          <w:b w:val="false"/>
          <w:bCs w:val="false"/>
          <w:color w:val="000000"/>
          <w:sz w:val="20"/>
          <w:szCs w:val="20"/>
        </w:rPr>
        <w:t xml:space="preserve">*사유: Drop Table 1's Effect column, and fix what Methods says about SIRs*</w:t>
      </w:r>
    </w:p>
    <w:p>
      <w:pPr>
        <w:spacing w:after="120" w:before="260"/>
      </w:pPr>
      <w:r>
        <w:rPr>
          <w:rFonts w:ascii="Malgun Gothic" w:cs="Malgun Gothic" w:eastAsia="Malgun Gothic" w:hAnsi="Malgun Gothic"/>
          <w:b/>
          <w:bCs/>
          <w:color w:val="000000"/>
          <w:sz w:val="24"/>
          <w:szCs w:val="24"/>
        </w:rPr>
        <w:t xml:space="preserve">Results</w:t>
      </w:r>
    </w:p>
    <w:p>
      <w:pPr>
        <w:spacing w:after="120" w:line="276"/>
      </w:pPr>
      <w:r>
        <w:rPr>
          <w:rFonts w:ascii="Malgun Gothic" w:cs="Malgun Gothic" w:eastAsia="Malgun Gothic" w:hAnsi="Malgun Gothic"/>
          <w:b w:val="false"/>
          <w:bCs w:val="false"/>
          <w:color w:val="000000"/>
          <w:sz w:val="20"/>
          <w:szCs w:val="20"/>
        </w:rPr>
        <w:t xml:space="preserve">### 1. Selection and characteristics of included studies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`Of these, 58 were eligible for quantitative synthesis and entered the analysis,…`</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Of these, 58 were eligible for quantitative synthesis and entered the analysis, contributing 218 individual estimates across racial/ethnic groups and analytic dimensions²⁻⁹,¹¹⁻¹²,¹⁵⁻⁶³—23 supplied a cell representative, and the remainder contributed overlapping estimates carried only in the sensitivity analysis; the remaining 118 informed the narrative synthesis (176 = 58 + 118).</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Of these, 58 were eligible for quantitative synthesis and entered the analysis, contributing 218 individual estimates across racial/ethnic groups and analytic dimensions²⁻⁹,¹¹⁻¹²,¹⁵⁻⁶³—22 supplied a cell representative, and the remainder contributed overlapping estimates carried only in the sensitivity analysis; the remaining 118 informed the narrative synthesis (176 = 58 + 118).</w:t>
      </w:r>
    </w:p>
    <w:p>
      <w:pPr>
        <w:spacing w:after="120" w:line="276"/>
      </w:pPr>
      <w:r>
        <w:rPr>
          <w:rFonts w:ascii="Malgun Gothic" w:cs="Malgun Gothic" w:eastAsia="Malgun Gothic" w:hAnsi="Malgun Gothic"/>
          <w:b w:val="false"/>
          <w:bCs w:val="false"/>
          <w:color w:val="000000"/>
          <w:sz w:val="20"/>
          <w:szCs w:val="20"/>
        </w:rPr>
        <w:t xml:space="preserve">*사유: Feedback5 item 1: fix Miller 2008 coverage, re-select NH rep, invert Kong overall Black*</w:t>
      </w:r>
    </w:p>
    <w:p>
      <w:pPr>
        <w:spacing w:after="120" w:line="276"/>
      </w:pPr>
      <w:r>
        <w:rPr>
          <w:rFonts w:ascii="Malgun Gothic" w:cs="Malgun Gothic" w:eastAsia="Malgun Gothic" w:hAnsi="Malgun Gothic"/>
          <w:b w:val="false"/>
          <w:bCs w:val="false"/>
          <w:color w:val="000000"/>
          <w:sz w:val="20"/>
          <w:szCs w:val="20"/>
        </w:rPr>
        <w:t xml:space="preserve">### 2. Disaggregated AANHPI subgroups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`Among Native Hawaiian and Pacific Islander (NHPI) subgroups, Guamanian/Chamorro/Samoan women had an…`</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Among Native Hawaiian and Pacific Islander (NHPI) subgroups, Guamanian/Chamorro/Samoan women had an IRR of 0.72 (0.64–0.82) and Native Hawaiian women 1.21 (1.12–1.31), with an NHPI aggregate of 1.21 (1.17–1.26) (Table 1;</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Among Native Hawaiian and Pacific Islander (NHPI) subgroups, Guamanian/Chamorro/Samoan women had an IRR of 0.72 (0.64–0.82) and Native Hawaiian women 1.27 (1.21–1.33), with an NHPI aggregate of 1.21 (1.17–1.26) (Table 1;</w:t>
      </w:r>
    </w:p>
    <w:p>
      <w:pPr>
        <w:spacing w:after="120" w:line="276"/>
      </w:pPr>
      <w:r>
        <w:rPr>
          <w:rFonts w:ascii="Malgun Gothic" w:cs="Malgun Gothic" w:eastAsia="Malgun Gothic" w:hAnsi="Malgun Gothic"/>
          <w:b w:val="false"/>
          <w:bCs w:val="false"/>
          <w:color w:val="000000"/>
          <w:sz w:val="20"/>
          <w:szCs w:val="20"/>
        </w:rPr>
        <w:t xml:space="preserve">*사유: Feedback5 item 1: fix Miller 2008 coverage, re-select NH rep, invert Kong overall Black*</w:t>
      </w:r>
    </w:p>
    <w:p>
      <w:pPr>
        <w:spacing w:after="120" w:line="276"/>
      </w:pPr>
      <w:r>
        <w:rPr>
          <w:rFonts w:ascii="Malgun Gothic" w:cs="Malgun Gothic" w:eastAsia="Malgun Gothic" w:hAnsi="Malgun Gothic"/>
          <w:b w:val="false"/>
          <w:bCs w:val="false"/>
          <w:color w:val="000000"/>
          <w:sz w:val="20"/>
          <w:szCs w:val="20"/>
        </w:rPr>
        <w:t xml:space="preserve">### 3. Risk of bias and sensitivity analyses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`Restricting to low-risk-of-bias studies left 59 of 85 cell representatives unchanged, with…`</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Restricting to low-risk-of-bias studies left 60 of 85 cell representatives unchanged, with the 13 changed and 12 dropped cells falling mainly among the disaggregated AANHPI subgroups and, in smaller numbers, the receptor-subtype, age-specific, and Middle Eastern cells (Supplementary Table 6a); restricting to directly reported estimates left 35 unchanged (5 changed, 45 dropped;</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Restricting to low-risk-of-bias studies left 59 of 85 cell representatives unchanged, with the 14 changed and 12 dropped cells falling mainly among the disaggregated AANHPI subgroups and, in smaller numbers, the receptor-subtype, age-specific, and Middle Eastern cells (Supplementary Table 6a); restricting to directly reported estimates left 35 unchanged (5 changed, 45 dropped;</w:t>
      </w:r>
    </w:p>
    <w:p>
      <w:pPr>
        <w:spacing w:after="120" w:line="276"/>
      </w:pPr>
      <w:r>
        <w:rPr>
          <w:rFonts w:ascii="Malgun Gothic" w:cs="Malgun Gothic" w:eastAsia="Malgun Gothic" w:hAnsi="Malgun Gothic"/>
          <w:b w:val="false"/>
          <w:bCs w:val="false"/>
          <w:color w:val="000000"/>
          <w:sz w:val="20"/>
          <w:szCs w:val="20"/>
        </w:rPr>
        <w:t xml:space="preserve">*사유: Feedback5 item 1: fix Miller 2008 coverage, re-select NH rep, invert Kong overall Black*</w:t>
      </w:r>
    </w:p>
    <w:p>
      <w:pPr>
        <w:spacing w:after="120" w:line="276"/>
      </w:pPr>
      <w:r>
        <w:rPr>
          <w:rFonts w:ascii="Malgun Gothic" w:cs="Malgun Gothic" w:eastAsia="Malgun Gothic" w:hAnsi="Malgun Gothic"/>
          <w:b w:val="false"/>
          <w:bCs w:val="false"/>
          <w:color w:val="000000"/>
          <w:sz w:val="20"/>
          <w:szCs w:val="20"/>
        </w:rPr>
        <w:t xml:space="preserve">### 4. Risk of bias and sensitivity analyses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`Restricting to low-risk-of-bias studies left 59 of 85 cell representatives unchanged, with…`</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Restricting to low-risk-of-bias studies left 59 of 85 cell representatives unchanged, with the 14 changed and 12 dropped cells falling mainly among the disaggregated AANHPI subgroups and, in smaller numbers, the receptor-subtype, age-specific, and Middle Eastern cells (Supplementary Table 6a); restricting to directly reported estimates left 35 unchanged (5 changed, 45 dropped;</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Restricting to low-risk-of-bias studies left 59 of 85 cell representatives unchanged, with the 14 changed and 12 dropped cells falling mainly among the disaggregated AANHPI subgroups and, in smaller numbers, the receptor-subtype, age-specific, and Middle Eastern cells (Supplementary Table 6a); restricting to directly reported IRRs—which also excludes the single indirectly standardized SIR—left 35 unchanged (4 changed, 46 dropped;</w:t>
      </w:r>
    </w:p>
    <w:p>
      <w:pPr>
        <w:spacing w:after="120" w:line="276"/>
      </w:pPr>
      <w:r>
        <w:rPr>
          <w:rFonts w:ascii="Malgun Gothic" w:cs="Malgun Gothic" w:eastAsia="Malgun Gothic" w:hAnsi="Malgun Gothic"/>
          <w:b w:val="false"/>
          <w:bCs w:val="false"/>
          <w:color w:val="000000"/>
          <w:sz w:val="20"/>
          <w:szCs w:val="20"/>
        </w:rPr>
        <w:t xml:space="preserve">*사유: Feedback5 item 3: align sensitivity conditions with the reported results*</w:t>
      </w:r>
    </w:p>
    <w:p>
      <w:pPr>
        <w:spacing w:after="120" w:line="276"/>
      </w:pPr>
      <w:r>
        <w:rPr>
          <w:rFonts w:ascii="Malgun Gothic" w:cs="Malgun Gothic" w:eastAsia="Malgun Gothic" w:hAnsi="Malgun Gothic"/>
          <w:b w:val="false"/>
          <w:bCs w:val="false"/>
          <w:color w:val="000000"/>
          <w:sz w:val="20"/>
          <w:szCs w:val="20"/>
        </w:rPr>
        <w:t xml:space="preserve">### 5. Risk of bias and sensitivity analyses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`On the JBI checklist, 41 of the 58 studies were at low…`</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On the JBI checklist, 45 of the 58 studies were at low risk of bias and 13 at moderate risk, with none at high risk (Supplementary Table 5); the moderate ratings arose mainly where an estimate was reported without a variance, the standard population was not clearly specified, or race and ethnicity ascertainment was limited.</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Restricting to low-risk-of-bias studies left 59 of 85 cell representatives unchanged, with the 14 changed and 12 dropped cells falling mainly among the disaggregated AANHPI subgroups and, in smaller numbers, the receptor-subtype, age-specific, and Middle Eastern cells (Supplementary Table 6a); restricting to directly reported IRRs—which also excludes the single indirectly standardized SIR—left 35 unchanged (4 changed, 46 dropped;</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On the JBI checklist, 41 of the 58 studies were at low risk of bias and 17 at moderate risk, with none at high risk (Supplementary Table 5); the moderate ratings arose mainly where an estimate was reported without a variance, the standard population was not clearly specified, or race and ethnicity ascertainment was limited.</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Restricting to low-risk-of-bias studies left 54 of 85 cell representatives unchanged, with the 19 changed and 12 dropped cells falling mainly among the disaggregated AANHPI subgroups and the AI/AN cells, and in smaller numbers among the receptor-subtype, age-specific, and Middle Eastern cells; the largest change was the AI/AN national aggregate, where the restriction replaced the 2010-2015 IHS-linked estimate (0.87) with the 1999-2004 IHS-linked estimate (0.63) (Supplementary Table 6a); restricting to directly reported IRRs—which also excludes the single indirectly standardized SIR—left 35 unchanged (4 changed, 46 dropped;</w:t>
      </w:r>
    </w:p>
    <w:p>
      <w:pPr>
        <w:spacing w:after="120" w:line="276"/>
      </w:pPr>
      <w:r>
        <w:rPr>
          <w:rFonts w:ascii="Malgun Gothic" w:cs="Malgun Gothic" w:eastAsia="Malgun Gothic" w:hAnsi="Malgun Gothic"/>
          <w:b w:val="false"/>
          <w:bCs w:val="false"/>
          <w:color w:val="000000"/>
          <w:sz w:val="20"/>
          <w:szCs w:val="20"/>
        </w:rPr>
        <w:t xml:space="preserve">*사유: Feedback5 item 4: apply the Q8 variance criterion consistently*</w:t>
      </w:r>
    </w:p>
    <w:p>
      <w:pPr>
        <w:spacing w:after="120" w:line="276"/>
      </w:pPr>
      <w:r>
        <w:rPr>
          <w:rFonts w:ascii="Malgun Gothic" w:cs="Malgun Gothic" w:eastAsia="Malgun Gothic" w:hAnsi="Malgun Gothic"/>
          <w:b w:val="false"/>
          <w:bCs w:val="false"/>
          <w:color w:val="000000"/>
          <w:sz w:val="20"/>
          <w:szCs w:val="20"/>
        </w:rPr>
        <w:t xml:space="preserve">### 6. Narrative synthesis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`The 118 narrative-synthesis studies met the inclusion criteria but contributed no extractable…`</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118 narrative-synthesis studies met the inclusion criteria but contributed no independent quantitative estimate—most because no IRR or NHW-referenced age-standardized rate could be recovered, and a few multi-registry summary reports (for example, the annual reports to the nation and the annual cancer-statistics summaries) because they re-reported registry incidence already quantified from the dedicated primary study for the same registry and period.</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118 narrative-synthesis studies met the inclusion criteria but contributed no extractable quantitative estimate—most because no IRR or NHW-referenced age-standardized rate could be recovered, and a few multi-registry summary reports (for example, the annual reports to the nation and the annual cancer-statistics summaries) because they re-reported registry incidence already quantified from the dedicated primary study for the same registry and period.</w:t>
      </w:r>
    </w:p>
    <w:p>
      <w:pPr>
        <w:spacing w:after="120" w:line="276"/>
      </w:pPr>
      <w:r>
        <w:rPr>
          <w:rFonts w:ascii="Malgun Gothic" w:cs="Malgun Gothic" w:eastAsia="Malgun Gothic" w:hAnsi="Malgun Gothic"/>
          <w:b w:val="false"/>
          <w:bCs w:val="false"/>
          <w:color w:val="000000"/>
          <w:sz w:val="20"/>
          <w:szCs w:val="20"/>
        </w:rPr>
        <w:t xml:space="preserve">*사유: Feedback5 item 6: drop "independent sources" and unpack the AI/AN 0.56-0.87 gap*</w:t>
      </w:r>
    </w:p>
    <w:p>
      <w:pPr>
        <w:spacing w:after="120" w:line="276"/>
      </w:pPr>
      <w:r>
        <w:rPr>
          <w:rFonts w:ascii="Malgun Gothic" w:cs="Malgun Gothic" w:eastAsia="Malgun Gothic" w:hAnsi="Malgun Gothic"/>
          <w:b w:val="false"/>
          <w:bCs w:val="false"/>
          <w:color w:val="000000"/>
          <w:sz w:val="20"/>
          <w:szCs w:val="20"/>
        </w:rPr>
        <w:t xml:space="preserve">### 7. Selection and characteristics of included studies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`The reference group was NHW for 66 of the 85 representatives and…`</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reference group was NHW in most studies and an unstratified White group in a minority (marked †;</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reference group was NHW for 66 of the 85 representatives and an unstratified White group for the other 19 (marked †;</w:t>
      </w:r>
    </w:p>
    <w:p>
      <w:pPr>
        <w:spacing w:after="120" w:line="276"/>
      </w:pPr>
      <w:r>
        <w:rPr>
          <w:rFonts w:ascii="Malgun Gothic" w:cs="Malgun Gothic" w:eastAsia="Malgun Gothic" w:hAnsi="Malgun Gothic"/>
          <w:b w:val="false"/>
          <w:bCs w:val="false"/>
          <w:color w:val="000000"/>
          <w:sz w:val="20"/>
          <w:szCs w:val="20"/>
        </w:rPr>
        <w:t xml:space="preserve">*사유: Give the number of unstratified-White cells instead of calling them a minority*</w:t>
      </w:r>
    </w:p>
    <w:p>
      <w:pPr>
        <w:spacing w:after="120" w:line="276"/>
      </w:pPr>
      <w:r>
        <w:rPr>
          <w:rFonts w:ascii="Malgun Gothic" w:cs="Malgun Gothic" w:eastAsia="Malgun Gothic" w:hAnsi="Malgun Gothic"/>
          <w:b w:val="false"/>
          <w:bCs w:val="false"/>
          <w:color w:val="000000"/>
          <w:sz w:val="20"/>
          <w:szCs w:val="20"/>
        </w:rPr>
        <w:t xml:space="preserve">### 8. Risk of bias and sensitivity analyses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`Supplementary Table 6c), the 18 dropped cells being those whose only representative…`</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Supplementary Table 6c), the dropped cells being those whose only representative used an unstratified White comparator — the receptor-defined subtypes and two age-specific Black cells — and the one changed cell being Alaska Native, whose unstratified-White representative (1.09) gave way to an Indian Health Service–linked estimate reported against an NHW reference (1.25); and restricting to the 2000 U.S. standard population changed little, since 83 of the 85 representatives were already standardized to it, so the restriction dropped no cell and changed only two Black receptor-subtype cells, each from a 1960 Segi-world-standardized representative to a 2000 U.S.–standardized estimate in the same direction (hormone-receptor-negative 1.80 to 1.60, hormone-receptor-positive 0.82 to 0.70;</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Supplementary Table 6c), the 18 dropped cells being those whose only representative used an unstratified White comparator — 16 receptor-defined subtype cells and the two Black cells above and below age 40 — and the one changed cell being Alaska Native, whose unstratified-White representative (1.09) gave way to an Indian Health Service–linked estimate reported against an NHW reference (1.25); and restricting to the 2000 U.S. standard population changed little, since 83 of the 85 representatives were already standardized to it, so the restriction dropped no cell and changed only two Black receptor-subtype cells, each from a 1960 Segi-world-standardized representative to a 2000 U.S.–standardized estimate in the same direction (hormone-receptor-negative 1.80 to 1.60, hormone-receptor-positive 0.82 to 0.70;</w:t>
      </w:r>
    </w:p>
    <w:p>
      <w:pPr>
        <w:spacing w:after="120" w:line="276"/>
      </w:pPr>
      <w:r>
        <w:rPr>
          <w:rFonts w:ascii="Malgun Gothic" w:cs="Malgun Gothic" w:eastAsia="Malgun Gothic" w:hAnsi="Malgun Gothic"/>
          <w:b w:val="false"/>
          <w:bCs w:val="false"/>
          <w:color w:val="000000"/>
          <w:sz w:val="20"/>
          <w:szCs w:val="20"/>
        </w:rPr>
        <w:t xml:space="preserve">*사유: Give the number of unstratified-White cells instead of calling them a minority*</w:t>
      </w:r>
    </w:p>
    <w:p>
      <w:pPr>
        <w:spacing w:after="120" w:line="276"/>
      </w:pPr>
      <w:r>
        <w:rPr>
          <w:rFonts w:ascii="Malgun Gothic" w:cs="Malgun Gothic" w:eastAsia="Malgun Gothic" w:hAnsi="Malgun Gothic"/>
          <w:b w:val="false"/>
          <w:bCs w:val="false"/>
          <w:color w:val="000000"/>
          <w:sz w:val="20"/>
          <w:szCs w:val="20"/>
        </w:rPr>
        <w:t xml:space="preserve">### 9. Selection and characteristics of included studies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`After collapsing overlapping registry-family estimates, 85 representative estimates remained, one per analytic…`</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After collapsing overlapping registry-family estimates, 85 representative estimates remained, one per analytic cell; all are listed in Supplementary Table 4, and the principal comparisons—overall incidence, the disaggregated AANHPI and Hispanic-origin subgroups, AI/AN by region, Middle Eastern populations, and TNBC—are shown in Table 1.</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reference group was NHW for 66 of the 85 representatives and an unstratified White group for the other 19 (marked †;</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Supplementary Table 4).</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After collapsing overlapping registry-family estimates, 85 representative estimates remained, one per analytic cell; all are listed in Supplementary Table 4, and the 38 covering the principal comparisons—overall incidence, the disaggregated AANHPI and Hispanic-origin subgroups, AI/AN by region, Middle Eastern populations, and TNBC—are shown in Table 1; the remaining cells, chiefly the other receptor-defined subtypes and the age-specific comparisons, are in the Supplementary Materials.</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reference group was NHW for 66 of the 85 representatives and an unstratified White group for the other 19, marked † wherever they appear—five of them in Table 1 and the other 14 in Supplementary Table 4.</w:t>
      </w:r>
    </w:p>
    <w:p>
      <w:pPr>
        <w:spacing w:after="120" w:line="276"/>
      </w:pPr>
      <w:r>
        <w:rPr>
          <w:rFonts w:ascii="Malgun Gothic" w:cs="Malgun Gothic" w:eastAsia="Malgun Gothic" w:hAnsi="Malgun Gothic"/>
          <w:b w:val="false"/>
          <w:bCs w:val="false"/>
          <w:color w:val="000000"/>
          <w:sz w:val="20"/>
          <w:szCs w:val="20"/>
        </w:rPr>
        <w:t xml:space="preserve">*사유: Say where the daggered cells are, since Table 1 holds 38 of the 85*</w:t>
      </w:r>
    </w:p>
    <w:p>
      <w:pPr>
        <w:spacing w:after="120" w:line="276"/>
      </w:pPr>
      <w:r>
        <w:rPr>
          <w:rFonts w:ascii="Malgun Gothic" w:cs="Malgun Gothic" w:eastAsia="Malgun Gothic" w:hAnsi="Malgun Gothic"/>
          <w:b w:val="false"/>
          <w:bCs w:val="false"/>
          <w:color w:val="000000"/>
          <w:sz w:val="20"/>
          <w:szCs w:val="20"/>
        </w:rPr>
        <w:t xml:space="preserve">### 10. Selection and characteristics of included studies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`The reference group was NHW for 66 of the 85 representatives and…`</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reference group was NHW for 66 of the 85 representatives and an unstratified White group for the other 19, marked † wherever they appear—five of them in Table 1 and the other 14 in Supplementary Table 4.</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reference group was NHW for 66 of the 85 representatives and an unstratified White group for the other 19; five of those are among the cells shown in Table 1, where they carry a †, and Supplementary Table 4 names the comparator of every extracted estimate in a column rather than by mark.</w:t>
      </w:r>
    </w:p>
    <w:p>
      <w:pPr>
        <w:spacing w:after="120" w:line="276"/>
      </w:pPr>
      <w:r>
        <w:rPr>
          <w:rFonts w:ascii="Malgun Gothic" w:cs="Malgun Gothic" w:eastAsia="Malgun Gothic" w:hAnsi="Malgun Gothic"/>
          <w:b w:val="false"/>
          <w:bCs w:val="false"/>
          <w:color w:val="000000"/>
          <w:sz w:val="20"/>
          <w:szCs w:val="20"/>
        </w:rPr>
        <w:t xml:space="preserve">*사유: Stop pointing at daggers in Supplementary Table 4, which has none*</w:t>
      </w:r>
    </w:p>
    <w:p>
      <w:pPr>
        <w:spacing w:after="120" w:line="276"/>
      </w:pPr>
      <w:r>
        <w:rPr>
          <w:rFonts w:ascii="Malgun Gothic" w:cs="Malgun Gothic" w:eastAsia="Malgun Gothic" w:hAnsi="Malgun Gothic"/>
          <w:b w:val="false"/>
          <w:bCs w:val="false"/>
          <w:color w:val="000000"/>
          <w:sz w:val="20"/>
          <w:szCs w:val="20"/>
        </w:rPr>
        <w:t xml:space="preserve">### 11. Results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`IRRs are versus NHW women unless marked † (an unstratified White reference).`</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IRRs are versus NHW women unless marked † (an unstratified White reference) or noted as an SIR.</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IRRs are versus NHW women unless marked † (an unstratified White reference).</w:t>
      </w:r>
    </w:p>
    <w:p>
      <w:pPr>
        <w:spacing w:after="120" w:line="276"/>
      </w:pPr>
      <w:r>
        <w:rPr>
          <w:rFonts w:ascii="Malgun Gothic" w:cs="Malgun Gothic" w:eastAsia="Malgun Gothic" w:hAnsi="Malgun Gothic"/>
          <w:b w:val="false"/>
          <w:bCs w:val="false"/>
          <w:color w:val="000000"/>
          <w:sz w:val="20"/>
          <w:szCs w:val="20"/>
        </w:rPr>
        <w:t xml:space="preserve">*사유: There are two SIRs, not one, and neither reaches the main text*</w:t>
      </w:r>
    </w:p>
    <w:p>
      <w:pPr>
        <w:spacing w:after="120" w:line="276"/>
      </w:pPr>
      <w:r>
        <w:rPr>
          <w:rFonts w:ascii="Malgun Gothic" w:cs="Malgun Gothic" w:eastAsia="Malgun Gothic" w:hAnsi="Malgun Gothic"/>
          <w:b w:val="false"/>
          <w:bCs w:val="false"/>
          <w:color w:val="000000"/>
          <w:sz w:val="20"/>
          <w:szCs w:val="20"/>
        </w:rPr>
        <w:t xml:space="preserve">### 12. Risk of bias and sensitivity analyses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`Restricting to low-risk-of-bias studies left 54 of 85 cell representatives unchanged, with…`</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Restricting to low-risk-of-bias studies left 54 of 85 cell representatives unchanged, with the 19 changed and 12 dropped cells falling mainly among the disaggregated AANHPI subgroups and the AI/AN cells, and in smaller numbers among the receptor-subtype, age-specific, and Middle Eastern cells; the largest change was the AI/AN national aggregate, where the restriction replaced the 2010-2015 IHS-linked estimate (0.87) with the 1999-2004 IHS-linked estimate (0.63) (Supplementary Table 6a); restricting to directly reported IRRs—which also excludes the single indirectly standardized SIR—left 35 unchanged (4 changed, 46 dropped;</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Restricting to low-risk-of-bias studies left 54 of 85 cell representatives unchanged, with the 19 changed and 12 dropped cells falling mainly among the disaggregated AANHPI subgroups and the AI/AN cells, and in smaller numbers among the receptor-subtype, age-specific, and Middle Eastern cells; the largest change was the AI/AN national aggregate, where the restriction replaced the 2010-2015 IHS-linked estimate (0.87) with the 1999-2004 IHS-linked estimate (0.63) (Supplementary Table 6a); restricting to directly reported IRRs—which also excludes the two indirectly standardized SIRs—left 35 unchanged (4 changed, 46 dropped;</w:t>
      </w:r>
    </w:p>
    <w:p>
      <w:pPr>
        <w:spacing w:after="120" w:line="276"/>
      </w:pPr>
      <w:r>
        <w:rPr>
          <w:rFonts w:ascii="Malgun Gothic" w:cs="Malgun Gothic" w:eastAsia="Malgun Gothic" w:hAnsi="Malgun Gothic"/>
          <w:b w:val="false"/>
          <w:bCs w:val="false"/>
          <w:color w:val="000000"/>
          <w:sz w:val="20"/>
          <w:szCs w:val="20"/>
        </w:rPr>
        <w:t xml:space="preserve">*사유: There are two SIRs, not one, and neither reaches the main text*</w:t>
      </w:r>
    </w:p>
    <w:p>
      <w:pPr>
        <w:spacing w:after="120" w:before="260"/>
      </w:pPr>
      <w:r>
        <w:rPr>
          <w:rFonts w:ascii="Malgun Gothic" w:cs="Malgun Gothic" w:eastAsia="Malgun Gothic" w:hAnsi="Malgun Gothic"/>
          <w:b/>
          <w:bCs/>
          <w:color w:val="000000"/>
          <w:sz w:val="24"/>
          <w:szCs w:val="24"/>
        </w:rPr>
        <w:t xml:space="preserve">Discussion</w:t>
      </w:r>
    </w:p>
    <w:p>
      <w:pPr>
        <w:spacing w:after="120" w:line="276"/>
      </w:pPr>
      <w:r>
        <w:rPr>
          <w:rFonts w:ascii="Malgun Gothic" w:cs="Malgun Gothic" w:eastAsia="Malgun Gothic" w:hAnsi="Malgun Gothic"/>
          <w:b w:val="false"/>
          <w:bCs w:val="false"/>
          <w:color w:val="000000"/>
          <w:sz w:val="20"/>
          <w:szCs w:val="20"/>
        </w:rPr>
        <w:t xml:space="preserve">### 1. Discussion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`Native Hawaiian women (1.27) and the NHPI aggregate (1.21) exceeded the NHW…`</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Native Hawaiian women (1.21) and the NHPI aggregate (1.21) exceeded the NHW rate;</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Native Hawaiian women (1.27) and the NHPI aggregate (1.21) exceeded the NHW rate;</w:t>
      </w:r>
    </w:p>
    <w:p>
      <w:pPr>
        <w:spacing w:after="120" w:line="276"/>
      </w:pPr>
      <w:r>
        <w:rPr>
          <w:rFonts w:ascii="Malgun Gothic" w:cs="Malgun Gothic" w:eastAsia="Malgun Gothic" w:hAnsi="Malgun Gothic"/>
          <w:b w:val="false"/>
          <w:bCs w:val="false"/>
          <w:color w:val="000000"/>
          <w:sz w:val="20"/>
          <w:szCs w:val="20"/>
        </w:rPr>
        <w:t xml:space="preserve">*사유: Feedback5 item 1: fix Miller 2008 coverage, re-select NH rep, invert Kong overall Black*</w:t>
      </w:r>
    </w:p>
    <w:p>
      <w:pPr>
        <w:spacing w:after="120" w:line="276"/>
      </w:pPr>
      <w:r>
        <w:rPr>
          <w:rFonts w:ascii="Malgun Gothic" w:cs="Malgun Gothic" w:eastAsia="Malgun Gothic" w:hAnsi="Malgun Gothic"/>
          <w:b w:val="false"/>
          <w:bCs w:val="false"/>
          <w:color w:val="000000"/>
          <w:sz w:val="20"/>
          <w:szCs w:val="20"/>
        </w:rPr>
        <w:t xml:space="preserve">### 2. Discussion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`Expressing each group's incidence as a ratio to the NHW rate does…`</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Expressing each group's incidence as a ratio to the NHW rate does not by itself make the estimates commensurable: a ratio cancels the shared standardization only when its numerator and denominator come from the same source, which holds within each cell but not across cells, so differences in underlying age structure, registry region, and diagnosis period remain embedded.</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Expressing each group's incidence as a ratio to the NHW rate does not by itself make the estimates commensurable.</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Within a cell the numerator and denominator share one standard population, period, and region, so the ratio is internally consistent; the ratio does not, however, cancel the standard population, because the age-specific rates of two groups differ in shape and another set of standard weights would move their standardized rates—and so their ratio—by different amounts.</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Across cells, differences in standard population, underlying age structure, registry region, and diagnosis period therefore remain embedded.</w:t>
      </w:r>
    </w:p>
    <w:p>
      <w:pPr>
        <w:spacing w:after="120" w:line="276"/>
      </w:pPr>
      <w:r>
        <w:rPr>
          <w:rFonts w:ascii="Malgun Gothic" w:cs="Malgun Gothic" w:eastAsia="Malgun Gothic" w:hAnsi="Malgun Gothic"/>
          <w:b w:val="false"/>
          <w:bCs w:val="false"/>
          <w:color w:val="000000"/>
          <w:sz w:val="20"/>
          <w:szCs w:val="20"/>
        </w:rPr>
        <w:t xml:space="preserve">*사유: Feedback5 item 2: stop claiming the ratio cancels the standard population*</w:t>
      </w:r>
    </w:p>
    <w:p>
      <w:pPr>
        <w:spacing w:after="120" w:line="276"/>
      </w:pPr>
      <w:r>
        <w:rPr>
          <w:rFonts w:ascii="Malgun Gothic" w:cs="Malgun Gothic" w:eastAsia="Malgun Gothic" w:hAnsi="Malgun Gothic"/>
          <w:b w:val="false"/>
          <w:bCs w:val="false"/>
          <w:color w:val="000000"/>
          <w:sz w:val="20"/>
          <w:szCs w:val="20"/>
        </w:rPr>
        <w:t xml:space="preserve">### 3. Discussion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`The main pattern held across the four sensitivity analyses in the cells…`</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main pattern held across the four sensitivity analyses: few cells changed representative on restriction, and most of the differences were cells dropped for lack of a qualifying estimate rather than cells that disagreed.</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main pattern held across the four sensitivity analyses in the cells that each restriction could re-examine: few of those cells changed representative.</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Most of the remaining cells were dropped because no estimate met the restriction, and a dropped cell is untested under that restriction rather than confirmed by it—the directly-reported restriction alone leaves 46 of the 85 cells unexamined, because registries publish rates rather than ratios.</w:t>
      </w:r>
    </w:p>
    <w:p>
      <w:pPr>
        <w:spacing w:after="120" w:line="276"/>
      </w:pPr>
      <w:r>
        <w:rPr>
          <w:rFonts w:ascii="Malgun Gothic" w:cs="Malgun Gothic" w:eastAsia="Malgun Gothic" w:hAnsi="Malgun Gothic"/>
          <w:b w:val="false"/>
          <w:bCs w:val="false"/>
          <w:color w:val="000000"/>
          <w:sz w:val="20"/>
          <w:szCs w:val="20"/>
        </w:rPr>
        <w:t xml:space="preserve">*사유: Feedback5 item 3: align sensitivity conditions with the reported results*</w:t>
      </w:r>
    </w:p>
    <w:p>
      <w:pPr>
        <w:spacing w:after="120" w:line="276"/>
      </w:pPr>
      <w:r>
        <w:rPr>
          <w:rFonts w:ascii="Malgun Gothic" w:cs="Malgun Gothic" w:eastAsia="Malgun Gothic" w:hAnsi="Malgun Gothic"/>
          <w:b w:val="false"/>
          <w:bCs w:val="false"/>
          <w:color w:val="000000"/>
          <w:sz w:val="20"/>
          <w:szCs w:val="20"/>
        </w:rPr>
        <w:t xml:space="preserve">### 4. Discussion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`The main pattern held for most of the cells each restriction could…`</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main pattern held across the four sensitivity analyses in the cells that each restriction could re-examine: few of those cells changed representative.</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Most of the remaining cells were dropped because no estimate met the restriction, and a dropped cell is untested under that restriction rather than confirmed by it—the directly-reported restriction alone leaves 46 of the 85 cells unexamined, because registries publish rates rather than ratios.</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Standard-population differences changed little, and the changes that did occur clustered in the disaggregated AANHPI subgroups and the age-specific cells whose estimates sit near the NHW rate, as with the Japanese cell above, so the aggregate ordering is robust while a few near-null subgroup signs are not.</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main pattern held for most of the cells each restriction could re-examine, but not uniformly.</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Cells that no estimate could fill under a restriction were dropped, and a dropped cell is untested under that restriction rather than confirmed by it—the directly-reported restriction alone leaves 46 of the 85 cells unexamined, because registries publish rates rather than ratios.</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Standard-population differences changed little.</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low-risk-of-bias restriction moved the most cells (19 of the 66 it could re-examine), concentrated in the disaggregated AANHPI subgroups, the age-specific cells whose estimates sit near the NHW rate, as with the Japanese cell above, and the AI/AN cells.</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AI/AN change is the largest: restricting to low-risk-of-bias studies replaces the IHS-linked national aggregate of 0.87 (2010–2015) with the earlier IHS-linked estimate of 0.63 (1999–2004), the same rise over time described above rather than two sources disagreeing about one period.</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That substitution nonetheless moves AI/AN below Hispanic/Latina women, so the ordering of the aggregates is not preserved under that restriction, and neither the ordering nor a few near-null subgroup signs should be read as established.</w:t>
      </w:r>
    </w:p>
    <w:p>
      <w:pPr>
        <w:spacing w:after="120" w:line="276"/>
      </w:pPr>
      <w:r>
        <w:rPr>
          <w:rFonts w:ascii="Malgun Gothic" w:cs="Malgun Gothic" w:eastAsia="Malgun Gothic" w:hAnsi="Malgun Gothic"/>
          <w:b w:val="false"/>
          <w:bCs w:val="false"/>
          <w:color w:val="000000"/>
          <w:sz w:val="20"/>
          <w:szCs w:val="20"/>
        </w:rPr>
        <w:t xml:space="preserve">*사유: Feedback5 item 4: apply the Q8 variance criterion consistently*</w:t>
      </w:r>
    </w:p>
    <w:p>
      <w:pPr>
        <w:spacing w:after="120" w:line="276"/>
      </w:pPr>
      <w:r>
        <w:rPr>
          <w:rFonts w:ascii="Malgun Gothic" w:cs="Malgun Gothic" w:eastAsia="Malgun Gothic" w:hAnsi="Malgun Gothic"/>
          <w:b w:val="false"/>
          <w:bCs w:val="false"/>
          <w:color w:val="000000"/>
          <w:sz w:val="20"/>
          <w:szCs w:val="20"/>
        </w:rPr>
        <w:t xml:space="preserve">### 5. Discussion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`The AI/AN change is the largest, and it turns on how uncertainty…`</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AI/AN change is the largest: restricting to low-risk-of-bias studies replaces the IHS-linked national aggregate of 0.87 (2010–2015) with the earlier IHS-linked estimate of 0.63 (1999–2004), the same rise over time described above rather than two sources disagreeing about one period.</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AI/AN change is the largest, and it turns on how uncertainty was reported rather than on a difference in bias.</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national aggregate's representative—the 2010–2015 IHS-linked estimate of 0.87—is rated moderate only because it prints no confidence interval, so the restriction replaces it with the 1999–2004 IHS-linked estimate of 0.63, which does print intervals.</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gap between the two is the rise over time described above, not two sources disagreeing about one period.</w:t>
      </w:r>
    </w:p>
    <w:p>
      <w:pPr>
        <w:spacing w:after="120" w:line="276"/>
      </w:pPr>
      <w:r>
        <w:rPr>
          <w:rFonts w:ascii="Malgun Gothic" w:cs="Malgun Gothic" w:eastAsia="Malgun Gothic" w:hAnsi="Malgun Gothic"/>
          <w:b w:val="false"/>
          <w:bCs w:val="false"/>
          <w:color w:val="000000"/>
          <w:sz w:val="20"/>
          <w:szCs w:val="20"/>
        </w:rPr>
        <w:t xml:space="preserve">*사유: Explain why the AI/AN representative changes under the low-RoB restriction*</w:t>
      </w:r>
    </w:p>
    <w:p>
      <w:pPr>
        <w:spacing w:after="120" w:line="276"/>
      </w:pPr>
      <w:r>
        <w:rPr>
          <w:rFonts w:ascii="Malgun Gothic" w:cs="Malgun Gothic" w:eastAsia="Malgun Gothic" w:hAnsi="Malgun Gothic"/>
          <w:b w:val="false"/>
          <w:bCs w:val="false"/>
          <w:color w:val="000000"/>
          <w:sz w:val="20"/>
          <w:szCs w:val="20"/>
        </w:rPr>
        <w:t xml:space="preserve">### 6. Discussion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`First, unlinked registries tend to undercount AI/AN cases, so the AI/AN estimates…`</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First, unlinked registries tend to undercount AI/AN cases, so the AI/AN estimates here draw on Indian Health Service–linked sources, which capture these cases more completely.¹⁰,⁵³ The difference is sizeable: the national aggregate from an unlinked source (0.56) rises to 0.87 once IHS-linked ascertainment is used.</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lower unlinked values therefore likely reflect incomplete case ascertainment rather than only lower underlying incidence; the AI/AN–NHW comparison depends on how completely cases are ascertained.⁴¹,⁵⁸ The IHS-linked correction, however, was available only for the aggregate and regional estimates: no Indian Health Service–linked source reported AI/AN incidence by molecular subtype, so the AI/AN subtype figures (for example, the HR-positive/HER2-negative and triple-negative cells) rest on unlinked registries and may understate the true rates.</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First, unlinked registries tend to undercount AI/AN cases, so the AI/AN estimates here draw on Indian Health Service–linked sources, which capture these cases more completely.¹⁰,⁵³ The two national figures differ substantially—0.56 from an unlinked source and 0.87 from an IHS-linked one—but they come from separate studies, so the gap cannot be read as the effect of linkage alone.</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Three differences run together.</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unlinked estimate covers 1999–2015 and the IHS-linked one 2010–2015, and the AI/AN ratio rose over that interval.</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IHS-linked figure is confined to Purchased/Referred Care Delivery Area counties, and that restriction applies to the NHW comparison group as well, so its numerator and denominator both describe a different population from the national one.</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Only the third difference—how AI/AN race was ascertained—is the linkage itself.</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lower unlinked values therefore likely reflect incomplete case ascertainment, together with the wider diagnosis periods and the national rather than PRCDA coverage of those sources, rather than only lower underlying incidence; the AI/AN–NHW comparison therefore depends on the source's ascertainment as well as its diagnosis period and geographic scope.⁴¹,⁵⁸ The IHS-linked correction, however, was available only for the aggregate and regional estimates: no Indian Health Service–linked source reported AI/AN incidence by molecular subtype, so the AI/AN subtype figures (for example, the HR-positive/HER2-negative and triple-negative cells) rest on unlinked registries and may understate the true rates.</w:t>
      </w:r>
    </w:p>
    <w:p>
      <w:pPr>
        <w:spacing w:after="120" w:line="276"/>
      </w:pPr>
      <w:r>
        <w:rPr>
          <w:rFonts w:ascii="Malgun Gothic" w:cs="Malgun Gothic" w:eastAsia="Malgun Gothic" w:hAnsi="Malgun Gothic"/>
          <w:b w:val="false"/>
          <w:bCs w:val="false"/>
          <w:color w:val="000000"/>
          <w:sz w:val="20"/>
          <w:szCs w:val="20"/>
        </w:rPr>
        <w:t xml:space="preserve">*사유: Feedback5 item 6: drop "independent sources" and unpack the AI/AN 0.56-0.87 gap*</w:t>
      </w:r>
    </w:p>
    <w:p>
      <w:pPr>
        <w:spacing w:after="120" w:line="276"/>
      </w:pPr>
      <w:r>
        <w:rPr>
          <w:rFonts w:ascii="Malgun Gothic" w:cs="Malgun Gothic" w:eastAsia="Malgun Gothic" w:hAnsi="Malgun Gothic"/>
          <w:b w:val="false"/>
          <w:bCs w:val="false"/>
          <w:color w:val="000000"/>
          <w:sz w:val="20"/>
          <w:szCs w:val="20"/>
        </w:rPr>
        <w:t xml:space="preserve">### 7. Discussion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`Second, by collapsing overlapping registry-family estimates while retaining the overlaps for the…`</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Second, by collapsing overlapping registry-family estimates while retaining the overlaps for the sensitivity analysis, it separates the cells corroborated by two or more independent sources (38 of the 85 analytic cells) from those resting on a single study (47); where two or more sources are available they agree in most cells, diverging chiefly in the near-null AANHPI subgroups and the ascertainment-dependent AI/AN comparison.</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Second, by collapsing overlapping registry-family estimates while retaining the overlaps for the sensitivity analysis, it separates the cells supported by more than one source, each from a different registry family (38 of the 85 analytic cells), from those resting on a single study (47).</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These sources are not fully independent—US registries are nested, so publications from different families can still draw on overlapping cases—but where more than one is available they agree in most cells, diverging chiefly in the near-null AANHPI subgroups and the ascertainment-dependent AI/AN comparison.</w:t>
      </w:r>
    </w:p>
    <w:p>
      <w:pPr>
        <w:spacing w:after="120" w:line="276"/>
      </w:pPr>
      <w:r>
        <w:rPr>
          <w:rFonts w:ascii="Malgun Gothic" w:cs="Malgun Gothic" w:eastAsia="Malgun Gothic" w:hAnsi="Malgun Gothic"/>
          <w:b w:val="false"/>
          <w:bCs w:val="false"/>
          <w:color w:val="000000"/>
          <w:sz w:val="20"/>
          <w:szCs w:val="20"/>
        </w:rPr>
        <w:t xml:space="preserve">*사유: Feedback5 item 6: drop "independent sources" and unpack the AI/AN 0.56-0.87 gap*</w:t>
      </w:r>
    </w:p>
    <w:p>
      <w:pPr>
        <w:spacing w:after="120" w:line="276"/>
      </w:pPr>
      <w:r>
        <w:rPr>
          <w:rFonts w:ascii="Malgun Gothic" w:cs="Malgun Gothic" w:eastAsia="Malgun Gothic" w:hAnsi="Malgun Gothic"/>
          <w:b w:val="false"/>
          <w:bCs w:val="false"/>
          <w:color w:val="000000"/>
          <w:sz w:val="20"/>
          <w:szCs w:val="20"/>
        </w:rPr>
        <w:t xml:space="preserve">### 8. Discussion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`Those counties contain or adjoin federally recognized tribal lands and hold about…`</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Those counties contain or adjoin federally recognized tribal lands and hold about 53% of the U.S.</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AI/AN population, with regional coverage from 16% in the East to all of Alaska,⁵³ so the IHS-linked figures describe about half of this population rather than the whole of it, and the better-covered regions are those where AI/AN residents make up a larger share of the county population.</w:t>
      </w:r>
    </w:p>
    <w:p>
      <w:pPr>
        <w:spacing w:after="120" w:line="276"/>
      </w:pPr>
      <w:r>
        <w:rPr>
          <w:rFonts w:ascii="Malgun Gothic" w:cs="Malgun Gothic" w:eastAsia="Malgun Gothic" w:hAnsi="Malgun Gothic"/>
          <w:b w:val="false"/>
          <w:bCs w:val="false"/>
          <w:color w:val="000000"/>
          <w:sz w:val="20"/>
          <w:szCs w:val="20"/>
        </w:rPr>
        <w:t xml:space="preserve">*사유: Discussion: state PRCDA population coverage in the AI/AN passage*</w:t>
      </w:r>
    </w:p>
    <w:p>
      <w:pPr>
        <w:spacing w:after="120" w:line="276"/>
      </w:pPr>
      <w:r>
        <w:rPr>
          <w:rFonts w:ascii="Malgun Gothic" w:cs="Malgun Gothic" w:eastAsia="Malgun Gothic" w:hAnsi="Malgun Gothic"/>
          <w:b w:val="false"/>
          <w:bCs w:val="false"/>
          <w:color w:val="000000"/>
          <w:sz w:val="20"/>
          <w:szCs w:val="20"/>
        </w:rPr>
        <w:t xml:space="preserve">### 9. Discussion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`Second, by collapsing overlapping registry-family estimates while retaining the overlaps for the…`</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Second, by collapsing overlapping registry-family estimates while retaining the overlaps for the sensitivity analysis, it separates the cells supported by more than one source, each from a different registry family (38 of the 85 analytic cells), from those resting on a single study (47).</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Second, by collapsing overlapping registry-family estimates while retaining the overlaps for the sensitivity analysis, it separates the cells that more than one study could fill (38 of the 85 analytic cells, and in 27 of those the studies come from at least two different registry families) from those resting on a single study (47).</w:t>
      </w:r>
    </w:p>
    <w:p>
      <w:pPr>
        <w:spacing w:after="120" w:line="276"/>
      </w:pPr>
      <w:r>
        <w:rPr>
          <w:rFonts w:ascii="Malgun Gothic" w:cs="Malgun Gothic" w:eastAsia="Malgun Gothic" w:hAnsi="Malgun Gothic"/>
          <w:b w:val="false"/>
          <w:bCs w:val="false"/>
          <w:color w:val="000000"/>
          <w:sz w:val="20"/>
          <w:szCs w:val="20"/>
        </w:rPr>
        <w:t xml:space="preserve">*사유: Discussion: correct what the 38 versus 47 cell split counts*</w:t>
      </w:r>
    </w:p>
    <w:p>
      <w:pPr>
        <w:spacing w:after="120" w:line="276"/>
      </w:pPr>
      <w:r>
        <w:rPr>
          <w:rFonts w:ascii="Malgun Gothic" w:cs="Malgun Gothic" w:eastAsia="Malgun Gothic" w:hAnsi="Malgun Gothic"/>
          <w:b w:val="false"/>
          <w:bCs w:val="false"/>
          <w:color w:val="000000"/>
          <w:sz w:val="20"/>
          <w:szCs w:val="20"/>
        </w:rPr>
        <w:t xml:space="preserve">### 10. Discussion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`The IHS-linked regional estimates vary widely and reach or exceed the NHW…`</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IHS-linked regional estimates vary widely and reach or exceed the NHW rate in the Northern and Southern Plains—and, against an unstratified White reference, among Alaska Native women (regional values in Table 1).</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The IHS-linked regional estimates vary widely and reach or exceed the NHW rate in the Northern and Southern Plains—and, against an unstratified White reference, among Alaska Native women (regional values in Table 1 and Figure 2).</w:t>
      </w:r>
    </w:p>
    <w:p>
      <w:pPr>
        <w:spacing w:after="120" w:line="276"/>
      </w:pPr>
      <w:r>
        <w:rPr>
          <w:rFonts w:ascii="Malgun Gothic" w:cs="Malgun Gothic" w:eastAsia="Malgun Gothic" w:hAnsi="Malgun Gothic"/>
          <w:b w:val="false"/>
          <w:bCs w:val="false"/>
          <w:color w:val="000000"/>
          <w:sz w:val="20"/>
          <w:szCs w:val="20"/>
        </w:rPr>
        <w:t xml:space="preserve">*사유: Draw the main-text figures from the same data Table 1 prints*</w:t>
      </w:r>
    </w:p>
    <w:p>
      <w:pPr>
        <w:spacing w:after="120" w:line="276"/>
      </w:pPr>
      <w:r>
        <w:rPr>
          <w:rFonts w:ascii="Malgun Gothic" w:cs="Malgun Gothic" w:eastAsia="Malgun Gothic" w:hAnsi="Malgun Gothic"/>
          <w:b w:val="false"/>
          <w:bCs w:val="false"/>
          <w:color w:val="000000"/>
          <w:sz w:val="20"/>
          <w:szCs w:val="20"/>
        </w:rPr>
        <w:t xml:space="preserve">### 11. Discussion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`Hispanics;⁸ the AI/AN regional range follows the pattern in earlier Indian Health…`</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Hispanics;⁸ the AI/AN regional range and the low Navajo-area rate align with prior regional and tribal analyses;¹⁰,⁴⁴,⁴⁸,⁵³ and the higher TNBC incidence in NHB women is concordant with prior subtype-specific work.²,²³ The relative ordering of groups also shifts with the outcome examined (Figure 3).</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Hispanics;⁸ the AI/AN regional range follows the pattern in earlier Indian Health Service–linked regional reports,¹⁰,⁵³ and the low Navajo-area rate that in the Navajo Nation registry analysis;⁴⁸ and the higher TNBC incidence in NHB women is concordant with prior subtype-specific work.²,²³ The relative ordering of groups also shifts with the outcome examined (Figure 3).</w:t>
      </w:r>
    </w:p>
    <w:p>
      <w:pPr>
        <w:spacing w:after="120" w:line="276"/>
      </w:pPr>
      <w:r>
        <w:rPr>
          <w:rFonts w:ascii="Malgun Gothic" w:cs="Malgun Gothic" w:eastAsia="Malgun Gothic" w:hAnsi="Malgun Gothic"/>
          <w:b w:val="false"/>
          <w:bCs w:val="false"/>
          <w:color w:val="000000"/>
          <w:sz w:val="20"/>
          <w:szCs w:val="20"/>
        </w:rPr>
        <w:t xml:space="preserve">*사유: Make every reference reachable, and finish the writing-guide sweep*</w:t>
      </w:r>
    </w:p>
    <w:p>
      <w:pPr>
        <w:spacing w:after="120" w:line="276"/>
      </w:pPr>
      <w:r>
        <w:rPr>
          <w:rFonts w:ascii="Malgun Gothic" w:cs="Malgun Gothic" w:eastAsia="Malgun Gothic" w:hAnsi="Malgun Gothic"/>
          <w:b w:val="false"/>
          <w:bCs w:val="false"/>
          <w:color w:val="000000"/>
          <w:sz w:val="20"/>
          <w:szCs w:val="20"/>
        </w:rPr>
        <w:t xml:space="preserve">### 12. Discussion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`This review assembled disaggregated, population-based estimates of invasive breast cancer incidence for…`</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This review assembled disaggregated, population-based estimates of invasive breast cancer incidence for U.S. racial and ethnic groups against a common NHW comparator (an unstratified White reference for a minority of cells, chiefly the receptor-defined subtypes).</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This review assembled disaggregated, population-based estimates of invasive breast cancer incidence for U.S. racial and ethnic groups against a common NHW comparator (an unstratified White reference for 19 of the 85 cells, most of them receptor-defined subtypes).</w:t>
      </w:r>
    </w:p>
    <w:p>
      <w:pPr>
        <w:spacing w:after="120" w:line="276"/>
      </w:pPr>
      <w:r>
        <w:rPr>
          <w:rFonts w:ascii="Malgun Gothic" w:cs="Malgun Gothic" w:eastAsia="Malgun Gothic" w:hAnsi="Malgun Gothic"/>
          <w:b w:val="false"/>
          <w:bCs w:val="false"/>
          <w:color w:val="000000"/>
          <w:sz w:val="20"/>
          <w:szCs w:val="20"/>
        </w:rPr>
        <w:t xml:space="preserve">*사유: Give the number of unstratified-White cells instead of calling them a minority*</w:t>
      </w:r>
    </w:p>
    <w:p>
      <w:pPr>
        <w:spacing w:after="120" w:line="276"/>
      </w:pPr>
      <w:r>
        <w:rPr>
          <w:rFonts w:ascii="Malgun Gothic" w:cs="Malgun Gothic" w:eastAsia="Malgun Gothic" w:hAnsi="Malgun Gothic"/>
          <w:b w:val="false"/>
          <w:bCs w:val="false"/>
          <w:color w:val="000000"/>
          <w:sz w:val="20"/>
          <w:szCs w:val="20"/>
        </w:rPr>
        <w:t xml:space="preserve">### 13. Discussion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`Second, reference groups differed across sources—66 of the 85 representatives used an…`</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Second, reference groups differed across sources—most used an NHW comparator and a minority an unstratified White reference—so each comparator was recorded as its source defined it and a sensitivity analysis was restricted to NHW-comparator estimates; the unstratified-White cells, chiefly the receptor-defined subtypes, can shift a ratio slightly.</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Second, reference groups differed across sources—66 of the 85 representatives used an NHW comparator and 19 an unstratified White reference—so each comparator was recorded as its source defined it and a sensitivity analysis was restricted to NHW-comparator estimates; the unstratified-White cells, 16 of them receptor-defined subtypes, can shift a ratio slightly.</w:t>
      </w:r>
    </w:p>
    <w:p>
      <w:pPr>
        <w:spacing w:after="120" w:line="276"/>
      </w:pPr>
      <w:r>
        <w:rPr>
          <w:rFonts w:ascii="Malgun Gothic" w:cs="Malgun Gothic" w:eastAsia="Malgun Gothic" w:hAnsi="Malgun Gothic"/>
          <w:b w:val="false"/>
          <w:bCs w:val="false"/>
          <w:color w:val="000000"/>
          <w:sz w:val="20"/>
          <w:szCs w:val="20"/>
        </w:rPr>
        <w:t xml:space="preserve">*사유: Give the number of unstratified-White cells instead of calling them a minority*</w:t>
      </w:r>
    </w:p>
    <w:p>
      <w:pPr>
        <w:spacing w:after="120" w:line="276"/>
      </w:pPr>
      <w:r>
        <w:rPr>
          <w:rFonts w:ascii="Malgun Gothic" w:cs="Malgun Gothic" w:eastAsia="Malgun Gothic" w:hAnsi="Malgun Gothic"/>
          <w:b w:val="false"/>
          <w:bCs w:val="false"/>
          <w:color w:val="000000"/>
          <w:sz w:val="20"/>
          <w:szCs w:val="20"/>
        </w:rPr>
        <w:t xml:space="preserve">### 14. Discussion — 수정</w:t>
      </w:r>
    </w:p>
    <w:p>
      <w:pPr>
        <w:spacing w:after="120" w:line="276"/>
      </w:pPr>
      <w:r>
        <w:rPr>
          <w:rFonts w:ascii="Malgun Gothic" w:cs="Malgun Gothic" w:eastAsia="Malgun Gothic" w:hAnsi="Malgun Gothic"/>
          <w:b/>
          <w:bCs/>
          <w:color w:val="000000"/>
          <w:sz w:val="20"/>
          <w:szCs w:val="20"/>
        </w:rPr>
        <w:t xml:space="preserve">찾기:</w:t>
      </w:r>
      <w:r>
        <w:rPr>
          <w:rFonts w:ascii="Malgun Gothic" w:cs="Malgun Gothic" w:eastAsia="Malgun Gothic" w:hAnsi="Malgun Gothic"/>
          <w:b w:val="false"/>
          <w:bCs w:val="false"/>
          <w:color w:val="000000"/>
          <w:sz w:val="20"/>
          <w:szCs w:val="20"/>
        </w:rPr>
        <w:t xml:space="preserve"> `Because studies differed in diagnosis period and region, these estimates are best…`</w:t>
      </w:r>
    </w:p>
    <w:p>
      <w:pPr>
        <w:spacing w:after="120" w:line="276"/>
      </w:pPr>
      <w:r>
        <w:rPr>
          <w:rFonts w:ascii="Malgun Gothic" w:cs="Malgun Gothic" w:eastAsia="Malgun Gothic" w:hAnsi="Malgun Gothic"/>
          <w:b/>
          <w:bCs/>
          <w:color w:val="000000"/>
          <w:sz w:val="20"/>
          <w:szCs w:val="20"/>
        </w:rPr>
        <w:t xml:space="preserve">변경 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Because studies differed in diagnosis period and region, these estimates are best read as a comparable-scale summary of the available evidence, with the provenance and comparator of each (computed CI ‡; unstratified White †) marked so readers can weigh them.</w:t>
      </w:r>
    </w:p>
    <w:p>
      <w:pPr>
        <w:spacing w:after="120" w:line="276"/>
      </w:pPr>
      <w:r>
        <w:rPr>
          <w:rFonts w:ascii="Malgun Gothic" w:cs="Malgun Gothic" w:eastAsia="Malgun Gothic" w:hAnsi="Malgun Gothic"/>
          <w:b/>
          <w:bCs/>
          <w:color w:val="000000"/>
          <w:sz w:val="20"/>
          <w:szCs w:val="20"/>
        </w:rPr>
        <w:t xml:space="preserve">변경 후</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Because studies differed in diagnosis period and region, these estimates are best read as a comparable-scale summary of the available evidence, with the provenance and comparator of each recorded—marked in the main-text table and figures (computed CI ‡; unstratified White †) and named in full in Supplementary Table 4—so readers can weigh them.</w:t>
      </w:r>
    </w:p>
    <w:p>
      <w:pPr>
        <w:spacing w:after="120" w:line="276"/>
      </w:pPr>
      <w:r>
        <w:rPr>
          <w:rFonts w:ascii="Malgun Gothic" w:cs="Malgun Gothic" w:eastAsia="Malgun Gothic" w:hAnsi="Malgun Gothic"/>
          <w:b w:val="false"/>
          <w:bCs w:val="false"/>
          <w:color w:val="000000"/>
          <w:sz w:val="20"/>
          <w:szCs w:val="20"/>
        </w:rPr>
        <w:t xml:space="preserve">*사유: Stop pointing at daggers in Supplementary Table 4, which has none*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2026-09-23T10:12:49.474Z</dcterms:created>
  <dcterms:modified xsi:type="dcterms:W3CDTF">2026-09-23T10:12:49.474Z</dcterms:modified>
</cp:coreProperties>
</file>

<file path=docProps/custom.xml><?xml version="1.0" encoding="utf-8"?>
<Properties xmlns="http://schemas.openxmlformats.org/officeDocument/2006/custom-properties" xmlns:vt="http://schemas.openxmlformats.org/officeDocument/2006/docPropsVTypes"/>
</file>