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두 방식 모두 내부적으로 일관되며 어느 쪽이든 그에 맞춰 RoB 표·민감도·본문 서술을 함께 갱신할 수 있으므로, 비뚤림 위험 평가에 불확실성 보고를 포함할지에 대한 지시를 주시면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2026-09-22T04:51:00.877Z</dcterms:created>
  <dcterms:modified xsi:type="dcterms:W3CDTF">2026-09-22T04:51:00.878Z</dcterms:modified>
</cp:coreProperties>
</file>

<file path=docProps/custom.xml><?xml version="1.0" encoding="utf-8"?>
<Properties xmlns="http://schemas.openxmlformats.org/officeDocument/2006/custom-properties" xmlns:vt="http://schemas.openxmlformats.org/officeDocument/2006/docPropsVTypes"/>
</file>