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the excluded set. To guard against false negatives, the entire model-excluded set was re-screened rather than sampled. Each excluded record was re-read at the title and full abstract, and every record that mentioned breast cancer and carried any signal of U.S. population-based incidence by race or ethnicity—an age-standardized or age-adjusted rate, an incidence rate ratio or standardized incidence ratio, or a minority-versus-White comparison within a U.S. registry—was carried forward for full-text retrieval rather than left on the abstract alone. A small number of wrongly excluded population-based reports were recovered this way; each was obtained and read in full, and its registry, diagnosis period, and population were compared against the studies already included, so that whether a recovered report was an overlapping estimate to retain or a duplicate to exclude was judged from the full text, never from the abstract. All the recovered reports proved to be single-state, regional, or morphology-specific studies whose race-specific data entered the quantitative or narrative synthesis as overlaps that did not displace a national cell representative, and the re-screen identified no further eligible studies. Every model decision the author accepted or overturned was recorded, and the records checked with the reasons retained are given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e1e9080ff04ad1e7d200d5c9a0b24b58a80999.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2026-09-15T08:50:26.598Z</dcterms:created>
  <dcterms:modified xsi:type="dcterms:W3CDTF">2026-09-15T08:50:26.598Z</dcterms:modified>
</cp:coreProperties>
</file>

<file path=docProps/custom.xml><?xml version="1.0" encoding="utf-8"?>
<Properties xmlns="http://schemas.openxmlformats.org/officeDocument/2006/custom-properties" xmlns:vt="http://schemas.openxmlformats.org/officeDocument/2006/docPropsVTypes"/>
</file>