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114 contributed to the narrative synthesis only (162 = 43 + 5 + 114). Study design is classified from the data source; most included studies are population-based registry/incidence studies rather than cohort studies. A PMID (or DOI where no PMID exists) is given for every study so that each of the 162 included studies—including the 114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std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48 studies assessed, 39 were Low, 9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55 of 73 cells unchanged, 8 changed, 10 dropped. The changed and dropped cells were concentrated in the disaggregated AANHPI subgroups (with a few age-specific and Middle Eastern cells), whose representatives are computed estimates from moderate-risk-of-bias sources; the AI/AN representatives are unchanged because the IHS-linked estimates preferred in the main analysis are themselves low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35 unchanged, 6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56 of 73 cells unchanged, 0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age-specific Black and US-born nativity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(or `directly-reported-rate` where the source printed the rate).</w:t>
      </w:r>
    </w:p>
    <w:p>
      <w:pPr>
        <w:spacing w:after="80"/>
      </w:pPr>
      <w:r>
        <w:rPr>
          <w:rFonts w:ascii="Malgun Gothic" w:cs="Malgun Gothic" w:eastAsia="Malgun Gothic" w:hAnsi="Malgun Gothic"/>
          <w:i w:val="false"/>
          <w:iCs w:val="false"/>
          <w:sz w:val="18"/>
          <w:szCs w:val="18"/>
        </w:rPr>
        <w:t xml:space="preserve">The records in each class:</w:t>
      </w:r>
    </w:p>
    <w:p>
      <w:pPr>
        <w:spacing w:after="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Gomez 2003, Miller 2008.</w:t>
      </w:r>
    </w:p>
    <w:p>
      <w:pPr>
        <w:spacing w:after="80"/>
      </w:pPr>
      <w:r>
        <w:rPr>
          <w:rFonts w:ascii="Malgun Gothic" w:cs="Malgun Gothic" w:eastAsia="Malgun Gothic" w:hAnsi="Malgun Gothic"/>
          <w:i w:val="false"/>
          <w:iCs w:val="false"/>
          <w:sz w:val="18"/>
          <w:szCs w:val="18"/>
        </w:rPr>
        <w:t xml:space="preserve">• point only (no CI): Liu 2012, Lund 2010, Keegan 2007, Harper 2009, Gopalani 2020, McCracken 2007.</w:t>
      </w:r>
    </w:p>
    <w:p>
      <w:pPr>
        <w:spacing w:after="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w:t>
      </w:r>
    </w:p>
    <w:p>
      <w:pPr>
        <w:spacing w:after="80"/>
      </w:pPr>
      <w:r>
        <w:rPr>
          <w:rFonts w:ascii="Malgun Gothic" w:cs="Malgun Gothic" w:eastAsia="Malgun Gothic" w:hAnsi="Malgun Gothic"/>
          <w:i w:val="false"/>
          <w:iCs w:val="false"/>
          <w:sz w:val="18"/>
          <w:szCs w:val="18"/>
        </w:rPr>
        <w:t xml:space="preserve">sqrt(1/D_min + 1/D_nhw) (D = cases); provenance `computed-from-rates-Poisson-SE`.</w:t>
      </w:r>
    </w:p>
    <w:p>
      <w:pPr>
        <w:spacing w:after="80"/>
      </w:pPr>
      <w:r>
        <w:rPr>
          <w:rFonts w:ascii="Malgun Gothic" w:cs="Malgun Gothic" w:eastAsia="Malgun Gothic" w:hAnsi="Malgun Gothic"/>
          <w:i w:val="false"/>
          <w:iCs w:val="false"/>
          <w:sz w:val="18"/>
          <w:szCs w:val="18"/>
        </w:rPr>
        <w:t xml:space="preserve">• Ellington 2022 (USCS). Aggregate age-adjusted rates for women aged ≥20</w:t>
      </w:r>
    </w:p>
    <w:p>
      <w:pPr>
        <w:spacing w:after="80"/>
      </w:pPr>
      <w:r>
        <w:rPr>
          <w:rFonts w:ascii="Malgun Gothic" w:cs="Malgun Gothic" w:eastAsia="Malgun Gothic" w:hAnsi="Malgun Gothic"/>
          <w:i w:val="false"/>
          <w:iCs w:val="false"/>
          <w:sz w:val="18"/>
          <w:szCs w:val="18"/>
        </w:rPr>
        <w:t xml:space="preserve">• (USCS, ~99% coverage): Black 174.0, Hispanic 134.0, Asian/PI 143.5, AI/AN 127.3, vs</w:t>
      </w:r>
    </w:p>
    <w:p>
      <w:pPr>
        <w:spacing w:after="80"/>
      </w:pPr>
      <w:r>
        <w:rPr>
          <w:rFonts w:ascii="Malgun Gothic" w:cs="Malgun Gothic" w:eastAsia="Malgun Gothic" w:hAnsi="Malgun Gothic"/>
          <w:i w:val="false"/>
          <w:iCs w:val="false"/>
          <w:sz w:val="18"/>
          <w:szCs w:val="18"/>
        </w:rPr>
        <w:t xml:space="preserve">• NHW 186.5; the paper reports rates, not ratios. IRR = minority / 186.5, with the CI</w:t>
      </w:r>
    </w:p>
    <w:p>
      <w:pPr>
        <w:spacing w:after="80"/>
      </w:pPr>
      <w:r>
        <w:rPr>
          <w:rFonts w:ascii="Malgun Gothic" w:cs="Malgun Gothic" w:eastAsia="Malgun Gothic" w:hAnsi="Malgun Gothic"/>
          <w:i w:val="false"/>
          <w:iCs w:val="false"/>
          <w:sz w:val="18"/>
          <w:szCs w:val="18"/>
        </w:rPr>
        <w:t xml:space="preserve">• from the annual case counts (e.g., Black 0.933 [0.920, 0.946], Hispanic 0.718</w:t>
      </w:r>
    </w:p>
    <w:p>
      <w:pPr>
        <w:spacing w:after="80"/>
      </w:pPr>
      <w:r>
        <w:rPr>
          <w:rFonts w:ascii="Malgun Gothic" w:cs="Malgun Gothic" w:eastAsia="Malgun Gothic" w:hAnsi="Malgun Gothic"/>
          <w:i w:val="false"/>
          <w:iCs w:val="false"/>
          <w:sz w:val="18"/>
          <w:szCs w:val="18"/>
        </w:rPr>
        <w:t xml:space="preserve">• [0.707, 0.731]). This supplies three of the four aggregate overall estimates.</w:t>
      </w:r>
    </w:p>
    <w:p>
      <w:pPr>
        <w:spacing w:after="80"/>
      </w:pPr>
      <w:r>
        <w:rPr>
          <w:rFonts w:ascii="Malgun Gothic" w:cs="Malgun Gothic" w:eastAsia="Malgun Gothic" w:hAnsi="Malgun Gothic"/>
          <w:i w:val="false"/>
          <w:iCs w:val="false"/>
          <w:sz w:val="18"/>
          <w:szCs w:val="18"/>
        </w:rPr>
        <w:t xml:space="preserve">• Brinton 2008, Cronin 2012. Rates with case counts but no</w:t>
      </w:r>
    </w:p>
    <w:p>
      <w:pPr>
        <w:spacing w:after="80"/>
      </w:pPr>
      <w:r>
        <w:rPr>
          <w:rFonts w:ascii="Malgun Gothic" w:cs="Malgun Gothic" w:eastAsia="Malgun Gothic" w:hAnsi="Malgun Gothic"/>
          <w:i w:val="false"/>
          <w:iCs w:val="false"/>
          <w:sz w:val="18"/>
          <w:szCs w:val="18"/>
        </w:rPr>
        <w:t xml:space="preserve">• ratio CI; SE(logIRR) from the counts as above.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Table 4 gives origin-specific female-breast rates with 95% CIs</w:t>
      </w:r>
    </w:p>
    <w:p>
      <w:pPr>
        <w:spacing w:after="80"/>
      </w:pPr>
      <w:r>
        <w:rPr>
          <w:rFonts w:ascii="Malgun Gothic" w:cs="Malgun Gothic" w:eastAsia="Malgun Gothic" w:hAnsi="Malgun Gothic"/>
          <w:i w:val="false"/>
          <w:iCs w:val="false"/>
          <w:sz w:val="18"/>
          <w:szCs w:val="18"/>
        </w:rPr>
        <w:t xml:space="preserve">• (Cuban 108.0, Mexican 71.9, New Latino 97.8, Puerto Rican 116.9), and the</w:t>
      </w:r>
    </w:p>
    <w:p>
      <w:pPr>
        <w:spacing w:after="80"/>
      </w:pPr>
      <w:r>
        <w:rPr>
          <w:rFonts w:ascii="Malgun Gothic" w:cs="Malgun Gothic" w:eastAsia="Malgun Gothic" w:hAnsi="Malgun Gothic"/>
          <w:i w:val="false"/>
          <w:iCs w:val="false"/>
          <w:sz w:val="18"/>
          <w:szCs w:val="18"/>
        </w:rPr>
        <w:t xml:space="preserve">• non-Hispanic White Florida comparator is reported in Table 2: 140.4 (137.6–143.2),</w:t>
      </w:r>
    </w:p>
    <w:p>
      <w:pPr>
        <w:spacing w:after="80"/>
      </w:pPr>
      <w:r>
        <w:rPr>
          <w:rFonts w:ascii="Malgun Gothic" w:cs="Malgun Gothic" w:eastAsia="Malgun Gothic" w:hAnsi="Malgun Gothic"/>
          <w:i w:val="false"/>
          <w:iCs w:val="false"/>
          <w:sz w:val="18"/>
          <w:szCs w:val="18"/>
        </w:rPr>
        <w:t xml:space="preserve">• same registry (Florida, 1999–2001), same standard (2000 US). IRR = origin rate /</w:t>
      </w:r>
    </w:p>
    <w:p>
      <w:pPr>
        <w:spacing w:after="80"/>
      </w:pPr>
      <w:r>
        <w:rPr>
          <w:rFonts w:ascii="Malgun Gothic" w:cs="Malgun Gothic" w:eastAsia="Malgun Gothic" w:hAnsi="Malgun Gothic"/>
          <w:i w:val="false"/>
          <w:iCs w:val="false"/>
          <w:sz w:val="18"/>
          <w:szCs w:val="18"/>
        </w:rPr>
        <w:t xml:space="preserve">• 140.4, with the 95% CI propagated from both rate CIs by the delta method (e.g.,</w:t>
      </w:r>
    </w:p>
    <w:p>
      <w:pPr>
        <w:spacing w:after="80"/>
      </w:pPr>
      <w:r>
        <w:rPr>
          <w:rFonts w:ascii="Malgun Gothic" w:cs="Malgun Gothic" w:eastAsia="Malgun Gothic" w:hAnsi="Malgun Gothic"/>
          <w:i w:val="false"/>
          <w:iCs w:val="false"/>
          <w:sz w:val="18"/>
          <w:szCs w:val="18"/>
        </w:rPr>
        <w:t xml:space="preserve">• Cuban 0.769 [0.688, 0.860]). These reproduce the authors' printed rounded rate</w:t>
      </w:r>
    </w:p>
    <w:p>
      <w:pPr>
        <w:spacing w:after="80"/>
      </w:pPr>
      <w:r>
        <w:rPr>
          <w:rFonts w:ascii="Malgun Gothic" w:cs="Malgun Gothic" w:eastAsia="Malgun Gothic" w:hAnsi="Malgun Gothic"/>
          <w:i w:val="false"/>
          <w:iCs w:val="false"/>
          <w:sz w:val="18"/>
          <w:szCs w:val="18"/>
        </w:rPr>
        <w:t xml:space="preserve">• ratios (0.8/0.5/0.7/0.8).</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w:t>
      </w:r>
    </w:p>
    <w:p>
      <w:pPr>
        <w:spacing w:after="80"/>
      </w:pPr>
      <w:r>
        <w:rPr>
          <w:rFonts w:ascii="Malgun Gothic" w:cs="Malgun Gothic" w:eastAsia="Malgun Gothic" w:hAnsi="Malgun Gothic"/>
          <w:i w:val="false"/>
          <w:iCs w:val="false"/>
          <w:sz w:val="18"/>
          <w:szCs w:val="18"/>
        </w:rPr>
        <w:t xml:space="preserve">overlap/sensitivity rows; each collapses to an existing cell representative</w:t>
      </w:r>
    </w:p>
    <w:p>
      <w:pPr>
        <w:spacing w:after="80"/>
      </w:pPr>
      <w:r>
        <w:rPr>
          <w:rFonts w:ascii="Malgun Gothic" w:cs="Malgun Gothic" w:eastAsia="Malgun Gothic" w:hAnsi="Malgun Gothic"/>
          <w:i w:val="false"/>
          <w:iCs w:val="false"/>
          <w:sz w:val="18"/>
          <w:szCs w:val="18"/>
        </w:rPr>
        <w:t xml:space="preserve">(finalize_representatives), so none changes a main-text estimate.</w:t>
      </w:r>
    </w:p>
    <w:p>
      <w:pPr>
        <w:spacing w:after="80"/>
      </w:pPr>
      <w:r>
        <w:rPr>
          <w:rFonts w:ascii="Malgun Gothic" w:cs="Malgun Gothic" w:eastAsia="Malgun Gothic" w:hAnsi="Malgun Gothic"/>
          <w:i w:val="false"/>
          <w:iCs w:val="false"/>
          <w:sz w:val="18"/>
          <w:szCs w:val="18"/>
        </w:rPr>
        <w:t xml:space="preserve">• Gomez  2010 (Gomez 2010, California Cancer Registry, 1988-2004). Table 1</w:t>
      </w:r>
    </w:p>
    <w:p>
      <w:pPr>
        <w:spacing w:after="80"/>
      </w:pPr>
      <w:r>
        <w:rPr>
          <w:rFonts w:ascii="Malgun Gothic" w:cs="Malgun Gothic" w:eastAsia="Malgun Gothic" w:hAnsi="Malgun Gothic"/>
          <w:i w:val="false"/>
          <w:iCs w:val="false"/>
          <w:sz w:val="18"/>
          <w:szCs w:val="18"/>
        </w:rPr>
        <w:t xml:space="preserve">• prints age-standardized (2000 US) invasive breast rates: NHW 146.1</w:t>
      </w:r>
    </w:p>
    <w:p>
      <w:pPr>
        <w:spacing w:after="80"/>
      </w:pPr>
      <w:r>
        <w:rPr>
          <w:rFonts w:ascii="Malgun Gothic" w:cs="Malgun Gothic" w:eastAsia="Malgun Gothic" w:hAnsi="Malgun Gothic"/>
          <w:i w:val="false"/>
          <w:iCs w:val="false"/>
          <w:sz w:val="18"/>
          <w:szCs w:val="18"/>
        </w:rPr>
        <w:t xml:space="preserve">• (145.5-146.7); Chinese 73.5 (71.6-75.4), Japanese 102.5 (99.3-105.9), Filipina</w:t>
      </w:r>
    </w:p>
    <w:p>
      <w:pPr>
        <w:spacing w:after="80"/>
      </w:pPr>
      <w:r>
        <w:rPr>
          <w:rFonts w:ascii="Malgun Gothic" w:cs="Malgun Gothic" w:eastAsia="Malgun Gothic" w:hAnsi="Malgun Gothic"/>
          <w:i w:val="false"/>
          <w:iCs w:val="false"/>
          <w:sz w:val="18"/>
          <w:szCs w:val="18"/>
        </w:rPr>
        <w:t xml:space="preserve">• 100.4 (98.1-102.8), Korean 46.3 (43.8-49.0), Vietnamese 59.9 (56.7-63.1). IRR =</w:t>
      </w:r>
    </w:p>
    <w:p>
      <w:pPr>
        <w:spacing w:after="80"/>
      </w:pPr>
      <w:r>
        <w:rPr>
          <w:rFonts w:ascii="Malgun Gothic" w:cs="Malgun Gothic" w:eastAsia="Malgun Gothic" w:hAnsi="Malgun Gothic"/>
          <w:i w:val="false"/>
          <w:iCs w:val="false"/>
          <w:sz w:val="18"/>
          <w:szCs w:val="18"/>
        </w:rPr>
        <w:t xml:space="preserve">• rate/146.1 with delta-method CI (e.g. Chinese 0.503, 0.490-0.516). State</w:t>
      </w:r>
    </w:p>
    <w:p>
      <w:pPr>
        <w:spacing w:after="80"/>
      </w:pPr>
      <w:r>
        <w:rPr>
          <w:rFonts w:ascii="Malgun Gothic" w:cs="Malgun Gothic" w:eastAsia="Malgun Gothic" w:hAnsi="Malgun Gothic"/>
          <w:i w:val="false"/>
          <w:iCs w:val="false"/>
          <w:sz w:val="18"/>
          <w:szCs w:val="18"/>
        </w:rPr>
        <w:t xml:space="preserve">• registry (&lt; national SEER-21); overlaps the SEER-21 subgroup reps (Gomez 2026).</w:t>
      </w:r>
    </w:p>
    <w:p>
      <w:pPr>
        <w:spacing w:after="80"/>
      </w:pPr>
      <w:r>
        <w:rPr>
          <w:rFonts w:ascii="Malgun Gothic" w:cs="Malgun Gothic" w:eastAsia="Malgun Gothic" w:hAnsi="Malgun Gothic"/>
          <w:i w:val="false"/>
          <w:iCs w:val="false"/>
          <w:sz w:val="18"/>
          <w:szCs w:val="18"/>
        </w:rPr>
        <w:t xml:space="preserve">• Jin  2016 (Jin 2016, eight-state SEER+NPCR, 2009-2011). Table 4 (female)</w:t>
      </w:r>
    </w:p>
    <w:p>
      <w:pPr>
        <w:spacing w:after="80"/>
      </w:pPr>
      <w:r>
        <w:rPr>
          <w:rFonts w:ascii="Malgun Gothic" w:cs="Malgun Gothic" w:eastAsia="Malgun Gothic" w:hAnsi="Malgun Gothic"/>
          <w:i w:val="false"/>
          <w:iCs w:val="false"/>
          <w:sz w:val="18"/>
          <w:szCs w:val="18"/>
        </w:rPr>
        <w:t xml:space="preserve">• prints breast rates with CIs: NHW 134.4 (133.8-135.1); Chinese 82.8, Filipina</w:t>
      </w:r>
    </w:p>
    <w:p>
      <w:pPr>
        <w:spacing w:after="80"/>
      </w:pPr>
      <w:r>
        <w:rPr>
          <w:rFonts w:ascii="Malgun Gothic" w:cs="Malgun Gothic" w:eastAsia="Malgun Gothic" w:hAnsi="Malgun Gothic"/>
          <w:i w:val="false"/>
          <w:iCs w:val="false"/>
          <w:sz w:val="18"/>
          <w:szCs w:val="18"/>
        </w:rPr>
        <w:t xml:space="preserve">• 111.3, Japanese 127.8, Korean 75.6, South Asian [=Asian Indian/Pakistani]</w:t>
      </w:r>
    </w:p>
    <w:p>
      <w:pPr>
        <w:spacing w:after="80"/>
      </w:pPr>
      <w:r>
        <w:rPr>
          <w:rFonts w:ascii="Malgun Gothic" w:cs="Malgun Gothic" w:eastAsia="Malgun Gothic" w:hAnsi="Malgun Gothic"/>
          <w:i w:val="false"/>
          <w:iCs w:val="false"/>
          <w:sz w:val="18"/>
          <w:szCs w:val="18"/>
        </w:rPr>
        <w:t xml:space="preserve">• 106.3, Vietnamese 72.2, Asian aggregate 94.5. IRR = rate/134.4, delta-method</w:t>
      </w:r>
    </w:p>
    <w:p>
      <w:pPr>
        <w:spacing w:after="80"/>
      </w:pPr>
      <w:r>
        <w:rPr>
          <w:rFonts w:ascii="Malgun Gothic" w:cs="Malgun Gothic" w:eastAsia="Malgun Gothic" w:hAnsi="Malgun Gothic"/>
          <w:i w:val="false"/>
          <w:iCs w:val="false"/>
          <w:sz w:val="18"/>
          <w:szCs w:val="18"/>
        </w:rPr>
        <w:t xml:space="preserve">• CI. Eight-state subset (&lt; national SEER-21); overlaps Gomez 2026.</w:t>
      </w:r>
    </w:p>
    <w:p>
      <w:pPr>
        <w:spacing w:after="80"/>
      </w:pPr>
      <w:r>
        <w:rPr>
          <w:rFonts w:ascii="Malgun Gothic" w:cs="Malgun Gothic" w:eastAsia="Malgun Gothic" w:hAnsi="Malgun Gothic"/>
          <w:i w:val="false"/>
          <w:iCs w:val="false"/>
          <w:sz w:val="18"/>
          <w:szCs w:val="18"/>
        </w:rPr>
        <w:t xml:space="preserve">• Watanabe-Galloway  2015 (Watanabe-Galloway 2015, NE/ND/SD state registries, 2002-2009).</w:t>
      </w:r>
    </w:p>
    <w:p>
      <w:pPr>
        <w:spacing w:after="80"/>
      </w:pPr>
      <w:r>
        <w:rPr>
          <w:rFonts w:ascii="Malgun Gothic" w:cs="Malgun Gothic" w:eastAsia="Malgun Gothic" w:hAnsi="Malgun Gothic"/>
          <w:i w:val="false"/>
          <w:iCs w:val="false"/>
          <w:sz w:val="18"/>
          <w:szCs w:val="18"/>
        </w:rPr>
        <w:t xml:space="preserve">• Table 2 prints all-ages age-standardized (2000 US) breast rates: AI/AN 134.6,</w:t>
      </w:r>
    </w:p>
    <w:p>
      <w:pPr>
        <w:spacing w:after="80"/>
      </w:pPr>
      <w:r>
        <w:rPr>
          <w:rFonts w:ascii="Malgun Gothic" w:cs="Malgun Gothic" w:eastAsia="Malgun Gothic" w:hAnsi="Malgun Gothic"/>
          <w:i w:val="false"/>
          <w:iCs w:val="false"/>
          <w:sz w:val="18"/>
          <w:szCs w:val="18"/>
        </w:rPr>
        <w:t xml:space="preserve">• NHW 149.3, RR 0.9. IRR = 134.6/149.3 = 0.902. Unlinked state registries</w:t>
      </w:r>
    </w:p>
    <w:p>
      <w:pPr>
        <w:spacing w:after="80"/>
      </w:pPr>
      <w:r>
        <w:rPr>
          <w:rFonts w:ascii="Malgun Gothic" w:cs="Malgun Gothic" w:eastAsia="Malgun Gothic" w:hAnsi="Malgun Gothic"/>
          <w:i w:val="false"/>
          <w:iCs w:val="false"/>
          <w:sz w:val="18"/>
          <w:szCs w:val="18"/>
        </w:rPr>
        <w:t xml:space="preserve">• undercount AI/AN, so this is demoted by the AI/AN-undercount rule below the</w:t>
      </w:r>
    </w:p>
    <w:p>
      <w:pPr>
        <w:spacing w:after="80"/>
      </w:pPr>
      <w:r>
        <w:rPr>
          <w:rFonts w:ascii="Malgun Gothic" w:cs="Malgun Gothic" w:eastAsia="Malgun Gothic" w:hAnsi="Malgun Gothic"/>
          <w:i w:val="false"/>
          <w:iCs w:val="false"/>
          <w:sz w:val="18"/>
          <w:szCs w:val="18"/>
        </w:rPr>
        <w:t xml:space="preserve">• IHS-linked Northern-Plains representative (Melkonian 2021).</w:t>
      </w:r>
    </w:p>
    <w:p>
      <w:pPr>
        <w:spacing w:after="80"/>
      </w:pPr>
      <w:r>
        <w:rPr>
          <w:rFonts w:ascii="Malgun Gothic" w:cs="Malgun Gothic" w:eastAsia="Malgun Gothic" w:hAnsi="Malgun Gothic"/>
          <w:i w:val="false"/>
          <w:iCs w:val="false"/>
          <w:sz w:val="18"/>
          <w:szCs w:val="18"/>
        </w:rPr>
        <w:t xml:space="preserve">• Melkonian  2022 (Melkonian 2022, urban IHS-linked USCS-AIAD, 2008-2017). Table 2</w:t>
      </w:r>
    </w:p>
    <w:p>
      <w:pPr>
        <w:spacing w:after="80"/>
      </w:pPr>
      <w:r>
        <w:rPr>
          <w:rFonts w:ascii="Malgun Gothic" w:cs="Malgun Gothic" w:eastAsia="Malgun Gothic" w:hAnsi="Malgun Gothic"/>
          <w:i w:val="false"/>
          <w:iCs w:val="false"/>
          <w:sz w:val="18"/>
          <w:szCs w:val="18"/>
        </w:rPr>
        <w:t xml:space="preserve">• prints all-ages breast rates for urban populations: AI/AN 74.2, NHW 129.6, RR</w:t>
      </w:r>
    </w:p>
    <w:p>
      <w:pPr>
        <w:spacing w:after="80"/>
      </w:pPr>
      <w:r>
        <w:rPr>
          <w:rFonts w:ascii="Malgun Gothic" w:cs="Malgun Gothic" w:eastAsia="Malgun Gothic" w:hAnsi="Malgun Gothic"/>
          <w:i w:val="false"/>
          <w:iCs w:val="false"/>
          <w:sz w:val="18"/>
          <w:szCs w:val="18"/>
        </w:rPr>
        <w:t xml:space="preserve">• 0.57. IRR = 74.2/129.6 = 0.573. Urban-restricted IHS subset (&lt; full PRCDA);</w:t>
      </w:r>
    </w:p>
    <w:p>
      <w:pPr>
        <w:spacing w:after="80"/>
      </w:pPr>
      <w:r>
        <w:rPr>
          <w:rFonts w:ascii="Malgun Gothic" w:cs="Malgun Gothic" w:eastAsia="Malgun Gothic" w:hAnsi="Malgun Gothic"/>
          <w:i w:val="false"/>
          <w:iCs w:val="false"/>
          <w:sz w:val="18"/>
          <w:szCs w:val="18"/>
        </w:rPr>
        <w:t xml:space="preserve">• overlaps the AI/AN aggregate representative (Gopalani 2020).</w:t>
      </w:r>
    </w:p>
    <w:p>
      <w:pPr>
        <w:spacing w:after="80"/>
      </w:pPr>
      <w:r>
        <w:rPr>
          <w:rFonts w:ascii="Malgun Gothic" w:cs="Malgun Gothic" w:eastAsia="Malgun Gothic" w:hAnsi="Malgun Gothic"/>
          <w:i w:val="false"/>
          <w:iCs w:val="false"/>
          <w:sz w:val="18"/>
          <w:szCs w:val="18"/>
        </w:rPr>
        <w:t xml:space="preserve">• Amirikia  2011 (Amirikia 2011, California Cancer Registry, 1988-2006). Table 2</w:t>
      </w:r>
    </w:p>
    <w:p>
      <w:pPr>
        <w:spacing w:after="80"/>
      </w:pPr>
      <w:r>
        <w:rPr>
          <w:rFonts w:ascii="Malgun Gothic" w:cs="Malgun Gothic" w:eastAsia="Malgun Gothic" w:hAnsi="Malgun Gothic"/>
          <w:i w:val="false"/>
          <w:iCs w:val="false"/>
          <w:sz w:val="18"/>
          <w:szCs w:val="18"/>
        </w:rPr>
        <w:t xml:space="preserve">• prints age-specific triple-negative rates by race (0-39, 40-49, 50-59, 60-74,</w:t>
      </w:r>
    </w:p>
    <w:p>
      <w:pPr>
        <w:spacing w:after="80"/>
      </w:pPr>
      <w:r>
        <w:rPr>
          <w:rFonts w:ascii="Malgun Gothic" w:cs="Malgun Gothic" w:eastAsia="Malgun Gothic" w:hAnsi="Malgun Gothic"/>
          <w:i w:val="false"/>
          <w:iCs w:val="false"/>
          <w:sz w:val="18"/>
          <w:szCs w:val="18"/>
        </w:rPr>
        <w:t xml:space="preserve">• &gt;=75). These were age-standardized by the review to all ages with 2000 US</w:t>
      </w:r>
    </w:p>
    <w:p>
      <w:pPr>
        <w:spacing w:after="80"/>
      </w:pPr>
      <w:r>
        <w:rPr>
          <w:rFonts w:ascii="Malgun Gothic" w:cs="Malgun Gothic" w:eastAsia="Malgun Gothic" w:hAnsi="Malgun Gothic"/>
          <w:i w:val="false"/>
          <w:iCs w:val="false"/>
          <w:sz w:val="18"/>
          <w:szCs w:val="18"/>
        </w:rPr>
        <w:t xml:space="preserve">• standard-population weights (0.5697/0.1540/0.1112/0.1048/0.0603): NHB 23.6, NHW</w:t>
      </w:r>
    </w:p>
    <w:p>
      <w:pPr>
        <w:spacing w:after="80"/>
      </w:pPr>
      <w:r>
        <w:rPr>
          <w:rFonts w:ascii="Malgun Gothic" w:cs="Malgun Gothic" w:eastAsia="Malgun Gothic" w:hAnsi="Malgun Gothic"/>
          <w:i w:val="false"/>
          <w:iCs w:val="false"/>
          <w:sz w:val="18"/>
          <w:szCs w:val="18"/>
        </w:rPr>
        <w:t xml:space="preserve">• 12.6, Hispanic 10.2 per 100,000. IRR(Black)=1.87, IRR(Hispanic)=0.81.</w:t>
      </w:r>
    </w:p>
    <w:p>
      <w:pPr>
        <w:spacing w:after="80"/>
      </w:pPr>
      <w:r>
        <w:rPr>
          <w:rFonts w:ascii="Malgun Gothic" w:cs="Malgun Gothic" w:eastAsia="Malgun Gothic" w:hAnsi="Malgun Gothic"/>
          <w:i w:val="false"/>
          <w:iCs w:val="false"/>
          <w:sz w:val="18"/>
          <w:szCs w:val="18"/>
        </w:rPr>
        <w:t xml:space="preserve">• California registry (&lt; national USCS); overlaps the USCS TNBC rep (Sung 2023).</w:t>
      </w:r>
    </w:p>
    <w:p>
      <w:pPr>
        <w:spacing w:after="80"/>
      </w:pPr>
      <w:r>
        <w:rPr>
          <w:rFonts w:ascii="Malgun Gothic" w:cs="Malgun Gothic" w:eastAsia="Malgun Gothic" w:hAnsi="Malgun Gothic"/>
          <w:i w:val="false"/>
          <w:iCs w:val="false"/>
          <w:sz w:val="18"/>
          <w:szCs w:val="18"/>
        </w:rPr>
        <w:t xml:space="preserve">• Zhang  2022 (Zhang 2022, NPCR+SEER/USCS, 2019). The text (Figure 2A) prints the</w:t>
      </w:r>
    </w:p>
    <w:p>
      <w:pPr>
        <w:spacing w:after="80"/>
      </w:pPr>
      <w:r>
        <w:rPr>
          <w:rFonts w:ascii="Malgun Gothic" w:cs="Malgun Gothic" w:eastAsia="Malgun Gothic" w:hAnsi="Malgun Gothic"/>
          <w:i w:val="false"/>
          <w:iCs w:val="false"/>
          <w:sz w:val="18"/>
          <w:szCs w:val="18"/>
        </w:rPr>
        <w:t xml:space="preserve">• 2019 age-adjusted triple-negative rates by race: NHB 25.0, NHW 12.8, Hispanic</w:t>
      </w:r>
    </w:p>
    <w:p>
      <w:pPr>
        <w:spacing w:after="80"/>
      </w:pPr>
      <w:r>
        <w:rPr>
          <w:rFonts w:ascii="Malgun Gothic" w:cs="Malgun Gothic" w:eastAsia="Malgun Gothic" w:hAnsi="Malgun Gothic"/>
          <w:i w:val="false"/>
          <w:iCs w:val="false"/>
          <w:sz w:val="18"/>
          <w:szCs w:val="18"/>
        </w:rPr>
        <w:t xml:space="preserve">• 11.5, AI/AN 9.4, API 9.5 per 100,000. IRR = rate/12.8 (NHB 1.95, Hispanic 0.90,</w:t>
      </w:r>
    </w:p>
    <w:p>
      <w:pPr>
        <w:spacing w:after="80"/>
      </w:pPr>
      <w:r>
        <w:rPr>
          <w:rFonts w:ascii="Malgun Gothic" w:cs="Malgun Gothic" w:eastAsia="Malgun Gothic" w:hAnsi="Malgun Gothic"/>
          <w:i w:val="false"/>
          <w:iCs w:val="false"/>
          <w:sz w:val="18"/>
          <w:szCs w:val="18"/>
        </w:rPr>
        <w:t xml:space="preserve">• AI/AN 0.73, API 0.74). Single-year 2019 cross-section; overlaps the USCS TNBC</w:t>
      </w:r>
    </w:p>
    <w:p>
      <w:pPr>
        <w:spacing w:after="80"/>
      </w:pPr>
      <w:r>
        <w:rPr>
          <w:rFonts w:ascii="Malgun Gothic" w:cs="Malgun Gothic" w:eastAsia="Malgun Gothic" w:hAnsi="Malgun Gothic"/>
          <w:i w:val="false"/>
          <w:iCs w:val="false"/>
          <w:sz w:val="18"/>
          <w:szCs w:val="18"/>
        </w:rPr>
        <w:t xml:space="preserve">•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2026-09-01T09:31:36.228Z</dcterms:created>
  <dcterms:modified xsi:type="dcterms:W3CDTF">2026-09-01T09:31:36.229Z</dcterms:modified>
</cp:coreProperties>
</file>

<file path=docProps/custom.xml><?xml version="1.0" encoding="utf-8"?>
<Properties xmlns="http://schemas.openxmlformats.org/officeDocument/2006/custom-properties" xmlns:vt="http://schemas.openxmlformats.org/officeDocument/2006/docPropsVTypes"/>
</file>