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usually reported for broad racial and ethnic categories. Each category is internally diverse—spanning subgroups defined by ancestry, nativity, and region, with receptor-defined subtypes cutting across them—so an aggregate rate does not show which subgroups are at highest and lowest risk. Estimates for these subgroups come from separate cancer-registry studies that differ in populations, periods, and reference groups, so they are not readily comparable across the published literature.</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166 studies were included—55 eligible for quantitative synthesis and 111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among California Hispanic women it varies further with nativity and neighborhood.</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American Indian and Alaska Native (AI/AN) women, the aggregate rate also depends on how race is ascertained: registries that assign race by observation misclassify and undercount many AI/AN cases, so an unlinked-registry rate understates their true incidence.</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collapsing the overlapping ones, and appraising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the three restriction-based sensitivity analyses; and the reclassification of four reports from the narrative to the quantitative synthesis after their source tables were re-verified as page images.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representative selection).</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(Anthropic's Claude) under the author's direction: the model applied the criteria to each record and proposed an include/exclude decision, and the author adjudicated the included set and a sample of the excluded set. To check the screening for false negatives, a random sample of 200 of the model-excluded records was re-screened (reproducible seed): every title and its recorded exclusion reason was read, and the abstracts of the records that concerned breast cancer or race and ethnicity with incidence were retrieved and read. This re-screen found one wrongly excluded record—a Louisiana Tumor Registry triple-negative study—which was added to the review; its full text was subsequently obtained, and it entered the quantitative synthesis as a regional overlapping estimate for the NHB triple-negative cell (Black versus an unstratified White reference, rate ratio 2.21, 95% CI 1.96–2.48), consistent with the higher NHB triple-negative burden reported below. The other 199 were confirmed correctly excluded. Because that miss implied others, the whole excluded set was then scanned for the same signature, and full-text review of the flagged records identified two further wrongly excluded studies—both Massachusetts Cancer Registry reports of age-standardized breast incidence by race versus NHW—which were likewise added to the quantitative synthesis as single-state overlaps. All three misses were neighborhood- or segregation-focused studies that nonetheless reported race-specific incidence in a table, and all three entered the sensitivity analysis without changing a representative. Other flagged studies of that kind were checked in full with different outcomes: one reporting inflammatory breast cancer incidence by race was added to the narrative synthesis (that morphological subtype falls outside the receptor-defined quantitative cells), while two were confirmed correctly excluded because they reported incidence only by socioeconomic stratum within a single race or within each race, not a race-versus-White comparison. That eligible studies surfaced this way indicates a small residual false-negative rate; single-reviewer screening with model assistance, rather than independent dual screening, is a limitation (Supplementary, screening audit). The author then obtained and read the full texts and made all full-text eligibility and inclusion decisions personally—except for four reports whose full text could not be obtained, which were assessed and included on the basis of their abstracts and enter only the narrative synthesis. The model assisted data extraction and cross-checked each extracted value against its source, and every included estimate was verified by the author against the source table, figure, or text. This source re-verification rendered every included report's tables as page images, not only its extracted text, so that rate ratios printed in image-only tables were not missed. Four reports first placed in the narrative set were moved to the quantitative synthesis once their tables were read in full: two national USCS studies giving age-adjusted incidence rate ratios versus NHW women for those aged 20–49 years and for those aged 65 years and older, a seven-state Delta-region study giving age-adjusted subtype rate ratios versus NHW women, and a SEER study giving age-adjusted rates by race from which the NHW comparison was recomputed. All four contributed overlapping or age-specific estimates rather than displacing the national representatives. In all, 166 publications were included in the systematic review; of these, 55 were eligible for quantitative synthesis and the remaining 111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single population-based benchmark for that cell, not a contemporary one—diagnosis periods vary by cell, and some representatives predate 2005)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For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Where the best-ascertained source for a cell reported only an unstratified White comparator, as for Alaska Native women, that estimate was kept as the representative and the non-Hispanic-White-comparator alternative was carried in the sensitivity analysis.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The checklist was applied to each extracted study by the author (a single assessor) with large-language-model assistance, and every item was recorded for all 55 extracted studies (Supplementary Table 5). Item 9 (response rate) was recorded as not applicable for every study, because census-like registry ascertainment has no survey response rate; it was therefore not counted as a defect. Each study's overall rating used the eight applicable items: low risk of bias required no more than one "No" together with a "Yes" on the two key items—valid measurement (item 7, including race and ethnicity ascertainment) and appropriate analysis (item 8, age standardization with a variance); three or more "No" ratings gave a high risk of bias, and any other combination—including a single "No" on either key item—gave a moderate rating.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245 reports; 10 could not be retrieved, and of the 237 assessed, 71 were excluded (reasons in Supplementary Table 3), giving 166 included studies (Figure 1). Of these, 55 were eligible for quantitative synthesis and entered the analysis, contributing 206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—24 supplied a cell representative, and the remainder contributed overlapping estimates carried only in the sensitivity analysis; the remaining 111 informed the narrative synthesis (166 = 55 + 111). The extracted studies were published between 2002 and 2026 and drew on SEER, NPCR and USCS, NAACCR, IHS-linked and tribal registries, and individual state or regional registries (Supplementary Table 2). After collapsing overlapping registry-family estimates, 83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sz w:val="24"/>
          <w:szCs w:val="24"/>
        </w:rPr>
        <w:t xml:space="preserve">AI/AN by region</w:t>
      </w:r>
    </w:p>
    <w:p>
      <w:pPr>
        <w:spacing w:after="160" w:line="360"/>
      </w:pPr>
      <w:r>
        <w:rPr>
          <w:rFonts w:ascii="Times New Roman" w:cs="Times New Roman" w:eastAsia="Times New Roman" w:hAnsi="Times New Roman"/>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111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44 of the 55 studies were at low risk of bias and 11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three ways (Supplementary Table 6). Restricting to low-risk-of-bias studies left 62 of 83 cell representatives unchanged, with the 11 changed and 10 dropped cells falling mainly among the disaggregated AANHPI subgroups and, in smaller numbers, the receptor-subtype, age-specific, and Middle Eastern cells; restricting to directly reported estimates left 31 unchanged (5 changed, 47 dropped); and restricting to NHW-comparator estimates left 64 unchanged (1 changed, 18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In Figure 2 each aggregate and each subgroup is the representative estimate from a separate study, placed on the common NHW scale for comparison; the points are not drawn from one source and differ in registry, region, and diagnosis period, so the figure shows the range of published estimates 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For the subgroups whose incidence sits close to the NHW rate, which study represents the cell can change the direction of the small difference. Japanese women are the clearest example: the representative estimate, from a recent SEER-21 source,</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sz w:val="24"/>
          <w:szCs w:val="24"/>
          <w:vertAlign w:val="superscript"/>
        </w:rPr>
        <w:t xml:space="preserve">49</w:t>
      </w:r>
      <w:r>
        <w:rPr>
          <w:rFonts w:ascii="Times New Roman" w:cs="Times New Roman" w:eastAsia="Times New Roman" w:hAnsi="Times New Roman"/>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studies also differ in diagnosis period, registry region, and comparator, and any of these can move a borderline estimate across 1.0.</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the AI/AN estimates here draw on Indian Health Service–linked sources, which correct that undercounting.</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correction is substantial: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span the six IHS regions from 0.57 (Southwest) to 1.33 (Southern Plains), reaching or exceeding the NHW rate in the Northern Plains (1.05), Alaska Native women (1.09, confidence interval spanning 1.0), and the Southern Plains (1.33).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are likely to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arranges aggregate and subgroup results on one axis for comparison—though the estimates are not fully commensurable, for the reasons set out under the limitations below, and the arrangement shows the span of published figures rather than a set of mutually calibrated rates. Across the three sensitivity analyses the main pattern held: few cells changed representative on restriction (11 under the low-risk-of-bias restriction, 5 under the directly-reported restriction, and 1 under the NHW-comparator restriction), and most of the differences were cells dropped for lack of a qualifying estimate rather than cells that disagreed. The changes that did occur clustered in the disaggregated AANHPI subgroups and the age-specific cells whose estimates sit near the NHW rate—Japanese women above being the clearest case—so the aggregate ordering is robust while a few near-null subgroup signs are not.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which can move a ratio slightly. Expressing each group's incidence as a ratio to the NHW rate does not by itself make the estimates commensurable: because the cells are drawn from different studies, differences in standard population, underlying age structure, registry region, and diagnosis period remain embedded in the ratios and are not cancelled by the common comparator. A ratio removes the shared standard-population scaling only when its numerator and denominator come from the same source and standardization—which holds within each cell but not across cells. Included studies differed in standard population and diagnosis period, limiting cross-cell comparability, and a few older studies used a 1970 standard population (world or US) and one the 1960 Segi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selection and extraction error, the full text of every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(36 of the 83 analytic cells) from those resting on a single study (47), and it shows where independent studies agree and where they do not: the aggregate ordering and most subgroup estimates held across the low-risk-of-bias, directly-reported, and NHW-comparator restrictions, while a few near-null differences—chiefly among Asian American subgroups, with Japanese women the clearest case—changed sign with the source, and the AI/AN comparison depended on whether case ascertainment was IHS-linked. Reviewing the studies jointly rather than singly therefore confirmed something no individual report, confined to its own registry and period, could establish: that the wide within-aggregate heterogeneity is reproducible across independent registries and stable under the risk-of-bias, provenance, and comparator restrictions, and is concordant with the earlier single-population studies it draws together—so the pattern reflects real differences rather than the choice of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standard population, period, and region, these estimates are best read as a comparable-scale summary of the available evidence rather than as mutually calibrated rates, with the provenance and comparator of each estimate (computed CI ‡; unstratified White †) marked so readers can weigh them.</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2d02d09de366b498f4c165925784aed568ecb4b.png"/><Relationship Id="rId8" Type="http://schemas.openxmlformats.org/officeDocument/2006/relationships/image" Target="media/784963a3021af25b050f7127d7dc51e7d721feff.png"/><Relationship Id="rId9" Type="http://schemas.openxmlformats.org/officeDocument/2006/relationships/image" Target="media/d1eb7530e6a39cf9939b6c538f1d1de237d8c35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2026-09-12T02:04:41.844Z</dcterms:created>
  <dcterms:modified xsi:type="dcterms:W3CDTF">2026-09-12T02:04:41.844Z</dcterms:modified>
</cp:coreProperties>
</file>

<file path=docProps/custom.xml><?xml version="1.0" encoding="utf-8"?>
<Properties xmlns="http://schemas.openxmlformats.org/officeDocument/2006/custom-properties" xmlns:vt="http://schemas.openxmlformats.org/officeDocument/2006/docPropsVTypes"/>
</file>