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cell</w:t>
      </w:r>
      <w:r>
        <w:rPr>
          <w:rFonts w:ascii="Times New Roman" w:cs="Times New Roman" w:eastAsia="Times New Roman" w:hAnsi="Times New Roman"/>
          <w:sz w:val="24"/>
          <w:szCs w:val="24"/>
        </w:rPr>
        <w:t xml:space="preserve"> defined by each racial or ethnic group crossed with each analytic dimension (overall incidence, a receptor-defined subtype, an age band, or nativity), 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 43 provided extractable estimates (145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115 informed the narrative synthesis (163 = 43 + 5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within each cell, 80 representative estimates (one per racial or ethnic group × analytic dimension) remained;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64 of 80 cell representatives unchanged, with the 3 changed and 13 dropped cells concentrated in the disaggregated AANHPI subgroups; restricting to directly reported estimates left 42 unchanged (5 changed, 33 dropped); and restricting to NHW-comparator estimates left 58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0.51 in Mexican women to 0.83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the present estimates span the full set of subgroups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incidence observed in Native Hawaiian women echoes the heterogeneous burden reported in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and the ordering of Hispanic subgroups—lower in Mexican and higher in Puerto Rican and Cuban women—reproduces the gradient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regional range across AI/AN populations, and the low rate in the Navajo area, are in line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The higher TNBC incidence in NHB women is also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Differences in the distribution of molecular subtypes and in stage at diagnosis, screening, and access to care have also been described and may contribute to the observed patterns.</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For AI/AN populations, part of the apparent difference reflects a data issue rather than a difference in underlying risk: unlinked national registries misclassify race and undercount AI/AN cases, which is why Indian Health Service–linked estimates were preferred for this group.</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Genetic or biological mechanisms were not examined in this review, which compares incidence rather than distinguishing its underlying causes.</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the aggregate also masks wide regional variation, from the Navajo area to the Northern Plains; because unlinked registries undercount AI/AN incidence, the main analysis used Indian Health Service–linked estimates, so the reported figures are the undercount-adjusted ones rather than the lower unlinked-registry values.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and receptor-defined subtypes;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8aaf9f9a150f69bdd52602b8afddb98728e423ba.png"/><Relationship Id="rId9" Type="http://schemas.openxmlformats.org/officeDocument/2006/relationships/image" Target="media/bea19cd38179a51c5d6212cd31319361db43c36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2026-08-28T11:46:01.347Z</dcterms:created>
  <dcterms:modified xsi:type="dcterms:W3CDTF">2026-08-28T11:46:01.347Z</dcterms:modified>
</cp:coreProperties>
</file>

<file path=docProps/custom.xml><?xml version="1.0" encoding="utf-8"?>
<Properties xmlns="http://schemas.openxmlformats.org/officeDocument/2006/custom-properties" xmlns:vt="http://schemas.openxmlformats.org/officeDocument/2006/docPropsVTypes"/>
</file>