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a minority of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1.21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 A publication that re-reported an estimate already captured from the same registry, diagnosis period, and population was excluded as a duplicate dataset;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source—the receptor-defined subtype cells and two age-specific Black cells—the estimate using an unstratified White comparator was kept as the representative and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low risk of bias required at most one "No" with a "Yes" on the two key items—valid measurement (item 7, including race and ethnicity ascertainment) and appropriate analysis (item 8, age standardization with a variance); three or more "No" ratings gave high risk of bias, and any other combination a moderate rating.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—23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principal comparisons—overall incidence, the disaggregated AANHPI and Hispanic-origin subgroups, AI/AN by region, Middle Eastern populations, and TNBC—are shown in Table 1. The reference group was NHW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independent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45 of the 58 studies were at low risk of bias and 13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60 of 85 cell representatives unchanged, with the 13 changed and 12 dropped cells falling mainly among the disaggregated AANHPI subgroups and, in smaller numbers, the receptor-subtype, age-specific, and Middle Eastern cells (Supplementary Table 6a); restricting to directly reported estimates left 35 unchanged (5 changed, 45 dropped; Supplementary Table 6b); restricting to NHW-comparator estimates left 66 unchanged (1 changed, 18 dropped; Supplementary Table 6c), the dropped cells being those whose only representative used an unstratified White comparator — the receptor-defined subtypes and two age-specific Black cells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a minority of cells, chiefly the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and the low Navajo-area rate align with prior regional and tribal analyses;</w:t>
      </w:r>
      <w:r>
        <w:rPr>
          <w:rFonts w:ascii="Times New Roman" w:cs="Times New Roman" w:eastAsia="Times New Roman" w:hAnsi="Times New Roman"/>
          <w:color w:val="000000"/>
          <w:sz w:val="24"/>
          <w:szCs w:val="24"/>
          <w:vertAlign w:val="superscript"/>
        </w:rPr>
        <w:t xml:space="preserve">10,44,48,53</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difference is sizeable: the national aggregate from an unlinked source (0.56) rises to 0.87 once IHS-linked ascertainment is used.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The lower unlinked values therefore likely reflect incomplete case ascertainment rather than only lower underlying incidence; the AI/AN–NHW comparison depends on how completely cases are ascertained.</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sources—most used an NHW comparator and a minority an unstratified White reference—so each comparator was recorded as its source defined it and a sensitivity analysis was restricted to NHW-comparator estimates; the unstratified-White cells, chiefly the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across the four sensitivity analyses: few cells changed representative on restriction, and most of the differences were cells dropped for lack of a qualifying estimate rather than cells that disagreed. Standard-population differences changed little, and the changes that did occur clustered in the disaggregated AANHPI subgroups and the age-specific cells whose estimates sit near the NHW rate, as with the Japanese cell above, so the aggregate ordering is robust while a few near-null subgroup signs are not.</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a ratio cancels the shared standardization only when its numerator and denominator come from the same source, which holds within each cell but not across cells, so differences in underlying age structure, registry region, and diagnosis period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corroborated by two or more independent sources (38 of the 85 analytic cells) from those resting on a single study (47); where two or more sources are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Each cell shows one representative population-based estimate — the most recent, broadest-coverage registry estimate per registry family — not a pooled estimate; the selection rule and its robustness are given in the Methods and Supplementary Table 6.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02b36f24b0a9d06e259e9c2f5d782e3be5bf26a.png"/><Relationship Id="rId8" Type="http://schemas.openxmlformats.org/officeDocument/2006/relationships/image" Target="media/ffce1511a45f0e0a4713d3517a89ce3f1bee70fe.png"/><Relationship Id="rId9" Type="http://schemas.openxmlformats.org/officeDocument/2006/relationships/image" Target="media/707d1ba7aebbb019fa42ad40779b83fb4004214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2026-09-18T08:34:44.544Z</dcterms:created>
  <dcterms:modified xsi:type="dcterms:W3CDTF">2026-09-18T08:34:44.544Z</dcterms:modified>
</cp:coreProperties>
</file>

<file path=docProps/custom.xml><?xml version="1.0" encoding="utf-8"?>
<Properties xmlns="http://schemas.openxmlformats.org/officeDocument/2006/custom-properties" xmlns:vt="http://schemas.openxmlformats.org/officeDocument/2006/docPropsVTypes"/>
</file>