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non-Hispanic White (NHW) comparison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w:t>
      </w:r>
      <w:r>
        <w:rPr>
          <w:rFonts w:ascii="Times New Roman" w:cs="Times New Roman" w:eastAsia="Times New Roman" w:hAnsi="Times New Roman"/>
          <w:sz w:val="24"/>
          <w:szCs w:val="24"/>
          <w:vertAlign w:val="superscript"/>
        </w:rPr>
        <w:t xml:space="preserve">2,4</w:t>
      </w:r>
      <w:r>
        <w:rPr>
          <w:rFonts w:ascii="Times New Roman" w:cs="Times New Roman" w:eastAsia="Times New Roman" w:hAnsi="Times New Roman"/>
          <w:sz w:val="24"/>
          <w:szCs w:val="24"/>
        </w:rPr>
        <w:t xml:space="preserve"> and to stage at diagnosis, screening, and access to care.</w:t>
      </w:r>
      <w:r>
        <w:rPr>
          <w:rFonts w:ascii="Times New Roman" w:cs="Times New Roman" w:eastAsia="Times New Roman" w:hAnsi="Times New Roman"/>
          <w:sz w:val="24"/>
          <w:szCs w:val="24"/>
          <w:vertAlign w:val="superscript"/>
        </w:rPr>
        <w:t xml:space="preserve">1</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linkage to Indian Health Service (IHS)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Service–linked sources for AI/AN populations; the receptor-defined subtype and age-band cells; the three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of the model-excluded records was re-screened (reproducible seed): every title and its recorded exclusion reason was read, and the abstracts of the records that concerned breast cancer or race and ethnicity with incidence were retrieved and read. This re-screen found one wrongly excluded record—a Louisiana Tumor Registry triple-negative study—which was added to the review; its full text was subsequently obtained, and it entered the quantitative synthesis as a regional overlapping estimate for the NHB triple-negative cell (Black-versus-White rate ratio 2.21, 95% CI 1.96–2.48), consistent with the higher NHB triple-negative burden reported below. The other 199 were confirmed correctly excluded. Because that miss implied others, the whole excluded set was then scanned for the same signature, and full-text review of the flagged records identified two further wrongly excluded studies—both Massachusetts Cancer Registry reports of age-standardized breast incidence by race versus NHW—which were likewise added to the quantitative synthesis as single-state overlaps. All three misses were neighborhood- or segregation-focused studies that nonetheless reported race-specific incidence in a table, and all three entered the sensitivity analysis without changing a representative. Other flagged studies of that kind were checked in full with different outcomes: one reporting inflammatory breast cancer incidence by race was added to the narrative synthesis (that morphological subtype falls outside the receptor-defined quantitative cells), while two were confirmed correctly excluded because they reported incidence only by socioeconomic stratum within a single race or within each race, not a race-versus-White comparison. That eligible studies surfaced this way indicates a small residual false-negative rate; single-reviewer screening with model assistance, rather than independent dual screening, is a limitation (Supplementary, screening audit). The author then obtained and read the full texts and made all full-text eligibility and inclusion decisions personally—except for four reports whose full text could not be obtained, which were assessed and included on the basis of their abstracts and enter only the narrative synthesis. The model assisted data extraction and cross-checked each extracted value against its source, and every included estimate was verified by the author against the source table, figure, or text. This source re-verification rendered every included report's tables as page images, not only its extracted text, so that rate ratios printed in image-only tables were not missed. Four reports first placed in the narrative set were moved to the quantitative synthesis once their tables were read in full: two national USCS studies giving age-adjusted incidence rate ratios versus NHW women for those aged 20–49 years and for those aged 65 years and older, a seven-state Delta-region study giving age-adjusted subtype rate ratios versus NHW women, and a SEER study giving age-adjusted rates by race from which the NHW comparison was recomputed. All four contributed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single population-based benchmark for that cell, not a contemporary one—diagnosis periods vary by cell, and some representatives predate 2005)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55 extracted studies (Supplementary Table 5). Item 9 (response rate) was recorded as not applicable for every study, because census-like registry ascertainment has no survey response rate; it was therefore not counted as a defect. Each study's overall rating used the eight applicable items: low risk of bias required no more than one "No" together with a "Yes" on the two key items—valid measurement (item 7, including race and ethnicity ascertainment) and appropriate analysis (item 8, age standardization with a variance); three or more "No" ratings gave a high risk of bias, and any other combination—including a single "No" on either key item—gave a moderate rating.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245 reports; 10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and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Across the three sensitivity analyses the main pattern held: few cells changed representative on restriction (11 under the low-risk-of-bias restriction, 5 under the directly-reported restriction, and 1 under the NHW-comparator restriction), and most of the differences were cells dropped for lack of a qualifying estimate rather than cells that disagreed. The changes that did occur clustered in the disaggregated AANHPI subgroups and the age-specific cells whose estimates sit near the NHW rate—Japanese women above being the clearest case—so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Included studies differed in standard population and diagnosis period, limiting cross-cell comparability, and a few older studies used a 1970 standard population (world or US) and one the 1960 Segi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and NHW-comparator restrictions, while a few near-null differences—chiefly among Asian American subgroups, with Japanese women the clearest case—changed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and comparator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2026-09-12T01:44:43.939Z</dcterms:created>
  <dcterms:modified xsi:type="dcterms:W3CDTF">2026-09-12T01:44:43.940Z</dcterms:modified>
</cp:coreProperties>
</file>

<file path=docProps/custom.xml><?xml version="1.0" encoding="utf-8"?>
<Properties xmlns="http://schemas.openxmlformats.org/officeDocument/2006/custom-properties" xmlns:vt="http://schemas.openxmlformats.org/officeDocument/2006/docPropsVTypes"/>
</file>