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(all 48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an internal or non-White reference—was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all providing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all 48 provided extractable estimates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 and entered the analysis—22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2026-09-02T09:29:26.816Z</dcterms:created>
  <dcterms:modified xsi:type="dcterms:W3CDTF">2026-09-02T09:29:26.816Z</dcterms:modified>
</cp:coreProperties>
</file>

<file path=docProps/custom.xml><?xml version="1.0" encoding="utf-8"?>
<Properties xmlns="http://schemas.openxmlformats.org/officeDocument/2006/custom-properties" xmlns:vt="http://schemas.openxmlformats.org/officeDocument/2006/docPropsVTypes"/>
</file>