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(all 48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 overlapping estimates so no woman is counted twice,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an internal or non-White reference—was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all providing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all 48 provided extractable estimates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 and entered the analysis—22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so selection and extraction errors cannot be fully excluded; to mitigate this,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These comparisons rest on a synthesis that collapsed overlapping registry estimates to one representative per analytic cell, preferred Indian Health Service–linked data where unlinked registries undercount AI/AN cases, harmonized the White comparator, and traced every rate ratio to a single appraised source.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2026-09-02T09:21:54.893Z</dcterms:created>
  <dcterms:modified xsi:type="dcterms:W3CDTF">2026-09-02T09:21:54.893Z</dcterms:modified>
</cp:coreProperties>
</file>

<file path=docProps/custom.xml><?xml version="1.0" encoding="utf-8"?>
<Properties xmlns="http://schemas.openxmlformats.org/officeDocument/2006/custom-properties" xmlns:vt="http://schemas.openxmlformats.org/officeDocument/2006/docPropsVTypes"/>
</file>