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misclassify and undercount many AI/AN cases, so an unlinked-registry rate understates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the four restriction-based sensitivity analyses; and the reclassification of four reports from the narrative to the quantitative synthesis after their source tables were re-verified as page images.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pre-specified eligibility criteria by a large language model (Anthropic's Claude) under the author's direction: the model applied the criteria to each record and proposed an include/exclude decision, and the author adjudicated the included and excluded sets. 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 For AI/AN populations this order was overridden in favour of ascertainment validity: because unlinked registries misclassify race and undercount this population, an estimate with Indian Health Service–based ascertainment—the IHS-PRCDA linkage, or a dedicated registry such as the Alaska Native Tumor Registry—was preferred over an unlinked-registry estimate for the same cell, ahead of both the coverage and the comparator-type preferences. For Alaska Native women, for example, this ascertainment-preferred source—the IHS-eligibility-based Alaska Native Tumor Registry—reports against an unstratified White reference rather than NHW; it was kept as the representative because completeness of ascertainment took priority over comparator type, and its NHW-comparator alternative was carried in the sensitivity analysis. 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 its source having reported no in-paper White comparator; it was retained only as an overlap record, not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the main-text table, the forest figures, and the sensitivity tables were all regenerated from it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219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2–9,11–12,15–52</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(23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(23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20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the 2000 U.S. standard population changed little: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 Restricting to low-risk-of-bias studies left 60 of 85 cell representatives unchanged, with the 13 changed and 12 dropped cells falling mainly among the disaggregated AANHPI subgroups and, in smaller numbers, the receptor-subtype, age-specific, and Middle Eastern cells; restricting to directly reported estimates left 35 unchanged (5 changed, 45 dropped); restricting to NHW-comparator estimates left 66 unchanged (1 changed, 18 dropped),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so the figure shows the range of published estimates—differing in registry, region, and diagnosis period—rather than a within-study decomposition).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SEER-21 period;</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21</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10,36,40,44</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2,20</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SEER-21 source,</w:t>
      </w:r>
      <w:r>
        <w:rPr>
          <w:rFonts w:ascii="Times New Roman" w:cs="Times New Roman" w:eastAsia="Times New Roman" w:hAnsi="Times New Roman"/>
          <w:color w:val="000000"/>
          <w:sz w:val="24"/>
          <w:szCs w:val="24"/>
          <w:vertAlign w:val="superscript"/>
        </w:rPr>
        <w:t xml:space="preserve">27</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49</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undercount AI/AN cases, so the AI/AN estimates here draw on Indian Health Service–linked sources, which correct that undercounting.</w:t>
      </w:r>
      <w:r>
        <w:rPr>
          <w:rFonts w:ascii="Times New Roman" w:cs="Times New Roman" w:eastAsia="Times New Roman" w:hAnsi="Times New Roman"/>
          <w:color w:val="000000"/>
          <w:sz w:val="24"/>
          <w:szCs w:val="24"/>
          <w:vertAlign w:val="superscript"/>
        </w:rPr>
        <w:t xml:space="preserve">10,44</w:t>
      </w:r>
      <w:r>
        <w:rPr>
          <w:rFonts w:ascii="Times New Roman" w:cs="Times New Roman" w:eastAsia="Times New Roman" w:hAnsi="Times New Roman"/>
          <w:color w:val="000000"/>
          <w:sz w:val="24"/>
          <w:szCs w:val="24"/>
        </w:rPr>
        <w:t xml:space="preserve"> The correction is substantial: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are therefore best read as reflecting incomplete case ascertainment rather than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34,48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2,29</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Some rate ratios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selection and extraction error, the full text of all but one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can be read against one another and against their aggregates in one place. Second, by collapsing overlapping registry-family estimates while retaining the overlaps for the sensitivity analysis, it separates cells corroborated by two or more independent sources (38 of the 85 analytic cells) from those resting on a single study (47), and it shows where independent sources agree—most cells—and where they diverge, chiefly the near-null AANHPI subgroups and the ascertainment-dependent AI/AN comparison noted above. Reviewing the studies jointly rather than singly therefore confirmed something no individual report, confined to its own registry and period, could establish: that the wide within-aggregate heterogeneity is reproducible across independent registries, stable under the sensitivity restrictions, and concordant with the earlier single-population studies it draws together—so the pattern does not depend on the choice of any one data source.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color w:val="000000"/>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color w:val="000000"/>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color w:val="000000"/>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color w:val="000000"/>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color w:val="000000"/>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color w:val="000000"/>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color w:val="000000"/>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c4e27b0248769a0113ef335befbe216a5c0448.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2026-09-16T23:03:35.512Z</dcterms:created>
  <dcterms:modified xsi:type="dcterms:W3CDTF">2026-09-16T23:03:35.513Z</dcterms:modified>
</cp:coreProperties>
</file>

<file path=docProps/custom.xml><?xml version="1.0" encoding="utf-8"?>
<Properties xmlns="http://schemas.openxmlformats.org/officeDocument/2006/custom-properties" xmlns:vt="http://schemas.openxmlformats.org/officeDocument/2006/docPropsVTypes"/>
</file>