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North America (NAACCR combined incidence dataset)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JBI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Joanna Briggs Institute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 formerly Contract Health Service Delivery Area, CHSDA)</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 error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1. Final search strategy for each database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Note. Search conducted 7 August 2026. Concept blocks combined with AND: breast cancer × race/ethnicity × incidence/age-adjusted rate × United States. Limits: 2000–2026, English, human; document-type exclusions. Total records identified 9,099; duplicate records removed (cross-database) 4,306; unique records screened 4,793.</w:t>
      </w:r>
    </w:p>
    <w:p>
      <w:r>
        <w:br w:type="page"/>
      </w:r>
    </w:p>
    <w:p>
      <w:pPr>
        <w:spacing w:after="100" w:before="200"/>
      </w:pPr>
      <w:r>
        <w:rPr>
          <w:rFonts w:ascii="Malgun Gothic" w:cs="Malgun Gothic" w:eastAsia="Malgun Gothic" w:hAnsi="Malgun Gothic"/>
          <w:b/>
          <w:bCs/>
          <w:color w:val="000000"/>
          <w:sz w:val="24"/>
          <w:szCs w:val="24"/>
        </w:rPr>
        <w:t xml:space="preserve">Supplementary Table 2. Characteristics of included studies (n = 176)</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037"/>
        <w:gridCol w:w="2557"/>
        <w:gridCol w:w="2422"/>
        <w:gridCol w:w="3634"/>
        <w:gridCol w:w="1750"/>
      </w:tblGrid>
      <w:tr>
        <w:trPr>
          <w:tblHeader/>
        </w:trPr>
        <w:tc>
          <w:tcPr>
            <w:tcW w:type="dxa" w:w="4037"/>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2557"/>
            <w:tcMar>
              <w:top w:type="dxa" w:w="25"/>
              <w:left w:type="dxa" w:w="70"/>
              <w:bottom w:type="dxa" w:w="25"/>
              <w:right w:type="dxa" w:w="70"/>
            </w:tcMar>
          </w:tcPr>
          <w:p>
            <w:r>
              <w:rPr>
                <w:rFonts w:ascii="Malgun Gothic" w:cs="Malgun Gothic" w:eastAsia="Malgun Gothic" w:hAnsi="Malgun Gothic"/>
                <w:b/>
                <w:bCs/>
                <w:sz w:val="15"/>
                <w:szCs w:val="15"/>
              </w:rPr>
              <w:t xml:space="preserve">Study design</w:t>
            </w:r>
          </w:p>
        </w:tc>
        <w:tc>
          <w:tcPr>
            <w:tcW w:type="dxa" w:w="2422"/>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634"/>
            <w:tcMar>
              <w:top w:type="dxa" w:w="25"/>
              <w:left w:type="dxa" w:w="70"/>
              <w:bottom w:type="dxa" w:w="25"/>
              <w:right w:type="dxa" w:w="70"/>
            </w:tcMar>
          </w:tcPr>
          <w:p>
            <w:r>
              <w:rPr>
                <w:rFonts w:ascii="Malgun Gothic" w:cs="Malgun Gothic" w:eastAsia="Malgun Gothic" w:hAnsi="Malgun Gothic"/>
                <w:b/>
                <w:bCs/>
                <w:sz w:val="15"/>
                <w:szCs w:val="15"/>
              </w:rPr>
              <w:t xml:space="preserve">Role in synthesis</w:t>
            </w:r>
          </w:p>
        </w:tc>
        <w:tc>
          <w:tcPr>
            <w:tcW w:type="dxa" w:w="1750"/>
            <w:tcMar>
              <w:top w:type="dxa" w:w="25"/>
              <w:left w:type="dxa" w:w="70"/>
              <w:bottom w:type="dxa" w:w="25"/>
              <w:right w:type="dxa" w:w="70"/>
            </w:tcMar>
          </w:tcPr>
          <w:p>
            <w:r>
              <w:rPr>
                <w:rFonts w:ascii="Malgun Gothic" w:cs="Malgun Gothic" w:eastAsia="Malgun Gothic" w:hAnsi="Malgun Gothic"/>
                <w:b/>
                <w:bCs/>
                <w:sz w:val="15"/>
                <w:szCs w:val="15"/>
              </w:rPr>
              <w:t xml:space="preserve">PMID / DOI</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Quantitative synthesis — data extracted (n = 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24777111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41082230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41086189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40553473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31234738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16247793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34918619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34427920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(9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30972520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21351091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33705303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38277147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36862439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30503975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35025856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23151952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18507200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23166647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19001605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36530732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34861613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11 cells; overlap for 5</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42377954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indigenous people in Australia, New Zealand, Canada, and the USA: A comparative population-based study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IHS-CHSDA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26476758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19066264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9 cells; overlap for 11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33074325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28365834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20447917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27736827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29445940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20336785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(2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21656753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changing incidence of in situ and invasive ductal and lobular breast carcinomas: United States, 1999-2004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(3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19454615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26320932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19124489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variations in breast and colorectal cancer incidence from 1995 to 2011: A comparative study between Texas Cancer Registry and National Cancer Institute's Surveillance, Epidemiology and End Results data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Texas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25672365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31764279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36504334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19292805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19067192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41385397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35699957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35119703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Hormone Receptor Status, Historical Redlining, and Current Neighborhood Characteristics in Massachusetts, 2005-2015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35603845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3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32337499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5 cells; overlap for 2</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31575554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multilevel measures of residential economic and racial segregation for cancer registries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31360840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4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19661072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17654663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16933057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12749722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Representative for 1 cell; overlap for 1</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doi:10.1093/aje/kwaa222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social determinants of triple negative breast cancer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Louisiana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30834239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(7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26661680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18066673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(6 cells)</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17626117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Overlap/sensitivity only (1 cell)</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12365024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Narrative synthesis only (n = 118)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Nativity &amp; immigrant generation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39132985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39438356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18696716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17242674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12784344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28407201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24013772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a proportional incidence measure rather than an age-standardized incidence rate, so no rate ratio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28801942</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Molecular subtype &amp; histology (n = 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39853979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of inflammatory breast cancer between 1973 and 2015 in the SEER database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33033965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inflammatory breast cancer in women, 1992-2009, United States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24366421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22773826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32804214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34508608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32778443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21357727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breast cancer phenotypes in the Surveillance, Epidemiology, and End Results database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12408373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35113296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21850396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Adenoid cystic carcinoma of the breast in the United States (1977 to 2006): a  population-based cohort study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20653964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18162138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12206512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40543242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39837694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18086787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20024610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41546752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11899120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 of inflammatory and noninflammatory breast cancer with socioeconomic characteristics in the surveillance, epidemiology, and end results database, 2000-2007 (2012)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22028401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estrogen receptor status in the United States, 2004–2020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38985086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15090727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doi:10.1038/s41523-026-00935-y</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Asian/PI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33392441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doi:10.1089/heq.2021.0041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doi:10.1186/2193-1801-2-3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doi:10.1007/s10549-010-1173-8</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Age &amp; early-onset (n = 20)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15986118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33099777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11918384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12115511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34731501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30426307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42065927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17627009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27792934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23907433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25442056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39937364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32940362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41989785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40189850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39094298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31392297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18720386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37119997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21749024</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Socioeconomic status &amp; screening (n = 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11562110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16737949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20567897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20147667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16425100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40736150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37184135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35064367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doi:10.2147/cmar.s173099</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Geography &amp; region (n = 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32596677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Neighborhood composition and incidence of cancer among Hispanics in the United States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15672387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15219802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12973851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16322891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20167158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16259500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26741869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17163416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26766789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29120826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25905822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15922628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36622036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28854891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37740603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38801414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31428891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18094016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18159978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doi:10.1186/1477-3163-4-21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15328946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40257373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Time trends (n = 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29982593</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15224974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23878350</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32212335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23446808</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42466659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41649619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37223193</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5"/>
                <w:szCs w:val="15"/>
              </w:rPr>
              <w:t xml:space="preserve">   Theme: Other (subgroup-specific descriptive) (n = 21)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39352042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34545941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24670926</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24676851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21473509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34128917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Underlying causes of the black-white racial disparity in breast cancer mortality: A population-based analysis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Race-specific rates appear only in a figure without the underlying values,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19584327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29509274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38996557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41400551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41528114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39808161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29975407</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doi:10.1093/jjco/hyw119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19109819</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Cohort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doi:10.1007/s10552-016-0798-2</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NHW-referenced age-standardized rate or ratio could be recovered from the report</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doi:10.1111/j.1748-0361.2009.00247.x</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comparison group is a non-U.S. population, so no NHW-referenced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doi:10.1002/ijc.10725</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by socioeconomic position rather than an NHW-referenced race comparison</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16388524</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Reports incidence as an annual trend (annual percentage change) rather than a cross-sectional age-standardized rate or ratio, so no cell estimate could be extracted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28553811</w:t>
            </w:r>
          </w:p>
        </w:tc>
      </w:tr>
      <w:tr>
        <w:tc>
          <w:tcPr>
            <w:tcW w:type="dxa" w:w="403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2557"/>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registry/incidence study</w:t>
            </w:r>
          </w:p>
        </w:tc>
        <w:tc>
          <w:tcPr>
            <w:tcW w:type="dxa" w:w="242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6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Most recent edition of a recurring statistics series; re-reports registry incidence already provided by the dedicated primary study for that registry and period</w:t>
            </w:r>
          </w:p>
        </w:tc>
        <w:tc>
          <w:tcPr>
            <w:tcW w:type="dxa" w:w="175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PMID 39976243</w:t>
            </w:r>
          </w:p>
        </w:tc>
      </w:tr>
    </w:tbl>
    <w:p>
      <w:pPr>
        <w:spacing w:after="80"/>
      </w:pPr>
    </w:p>
    <w:p>
      <w:pPr>
        <w:spacing w:after="80"/>
      </w:pPr>
      <w:r>
        <w:rPr>
          <w:rFonts w:ascii="Malgun Gothic" w:cs="Malgun Gothic" w:eastAsia="Malgun Gothic" w:hAnsi="Malgun Gothic"/>
          <w:i/>
          <w:iCs/>
          <w:sz w:val="18"/>
          <w:szCs w:val="18"/>
        </w:rPr>
        <w:t xml:space="preserve">Note. All 176 studies are included in the systematic review; not all entered the quantitative synthesis, and rows are grouped by contribution: 58 were eligible for quantitative synthesis and all provided extractable quantitative data that entered the analysis, and the remaining 118 contributed to the narrative synthesis only (176 = 58 + 118). Study design is classified from the data source; most are population-based registry/incidence studies rather than cohort studies. A PMID (or DOI where none exists) is given for every study so each can be located individually.</w:t>
      </w:r>
    </w:p>
    <w:p>
      <w:pPr>
        <w:spacing w:after="80"/>
      </w:pPr>
      <w:r>
        <w:rPr>
          <w:rFonts w:ascii="Malgun Gothic" w:cs="Malgun Gothic" w:eastAsia="Malgun Gothic" w:hAnsi="Malgun Gothic"/>
          <w:i/>
          <w:iCs/>
          <w:sz w:val="18"/>
          <w:szCs w:val="18"/>
        </w:rPr>
        <w:t xml:space="preserve">Role in synthesis summarises, for each study, how it was used: “Representative for N cell(s)” — supplied the main-analysis benchmark for N analytic cells (group × dimension); “overlap for M” — also contributed M overlapping estimates kept only for the sensitivity re-selection; “Overlap/sensitivity only” — every estimate overlapped an already-represented cell. For the studies under “Narrative synthesis only” the column instead gives the reason no quantitative estimate was taken: the specific reason where the eligibility record states one (a recurring statistics series, an annual-trend-only report, a proportional incidence measure, values shown only in a figure, a socioeconomic rather than racial comparison, or a non-U.S. comparison group), otherwise the general reason that no NHW-referenced rate or ratio could be recovered. The cell-by-cell selection status and the reason each estimate was or was not chosen as the representative are given in Supplementary Table 4 (main-analysis column).</w:t>
      </w:r>
    </w:p>
    <w:p>
      <w:r>
        <w:br w:type="page"/>
      </w:r>
    </w:p>
    <w:p>
      <w:pPr>
        <w:spacing w:after="100" w:before="200"/>
      </w:pPr>
      <w:r>
        <w:rPr>
          <w:rFonts w:ascii="Malgun Gothic" w:cs="Malgun Gothic" w:eastAsia="Malgun Gothic" w:hAnsi="Malgun Gothic"/>
          <w:b/>
          <w:bCs/>
          <w:color w:val="000000"/>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2010-2021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Proportionate cancer incidence in the Laotian population of California, 1988-2006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U.S. military population: Comparison with rates from the SEER Program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Preprint (not peer-reviewed)</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Duplicate or redundant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Enclave Residence and Breast, Cervical, and Colorectal Cancer Incidence among Asian American Adults, 2006 to 2017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spacing w:after="100" w:before="200"/>
      </w:pPr>
      <w:r>
        <w:rPr>
          <w:rFonts w:ascii="Malgun Gothic" w:cs="Malgun Gothic" w:eastAsia="Malgun Gothic" w:hAnsi="Malgun Gothic"/>
          <w:b/>
          <w:bCs/>
          <w:color w:val="000000"/>
          <w:sz w:val="24"/>
          <w:szCs w:val="24"/>
        </w:rPr>
        <w:t xml:space="preserve">Supplementary Table 4. Registry overlap and representative selection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New Mexico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[0.45,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[0.81,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 [0.48, 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[0.83,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 [0.37, 0.44]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(external comparator)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0.99 [0.87, 1.12]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2002-2006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standard (IARC)</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1.14 [1.01,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1997-2001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[0.70,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 [0.62, 0.63]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[0.93,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age-ge65</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2001-2019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 [0.68,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[0.74, 0.75]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0.630 [0.622, 0.639]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0.676 [0.659, 0.695]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[0.81,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0.63 [0.61,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 (urban UIHO subset)</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0.563 [0.33,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0.455 [0.292, 0.709]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0.475 [0.458, 0.492]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 [0.737, 0.747]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0.90 [0.89, 0.92]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0.567 [0.526, 0.612]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0.642 [0.597, 0.69]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2005-2009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[0.951, 0.963]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0.826 [0.820, 0.832]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 [0.84, 0.86]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[0.931,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[1.04,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0.812 [0.772,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0.807 [0.762,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Texas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0.969 [0.934, 1.005]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0.643 [0.637, 0.650]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[0.696, 0.705]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[0.69,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0.571 [0.529, 0.617]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Massachusetts</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0.617 [0.578,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 (indirect, US White reference)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0.527 [0.494, 0.562]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[0.490, 0.516]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[0.671, 0.704]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0.702 [0.679, 0.725]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0.317 [0.300, 0.335]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0.410 [0.389, 0.433]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1.29 [1.26, 1.32]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[1.17, 1.52]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1.49 [1.28, 1.71]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[0.78,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[0.83,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[0.70,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 [0.90, 1.11]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[0.49, 1.06]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 [0.76,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1.93 [1.90, 1.95]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2.10 [1.94, 2.27]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Louisiana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stated (model-adjusted)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2.21 [1.96, 2.48]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Metropolitan Atlanta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Multi-state registry subset (regional)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[0.53, 1.13]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Note. Each row is the single representative estimate selected for one analytic cell (group × dimension) for the main analysis: the broadest-coverage, most recent source with an appropriate population definition and standardization — a population-based benchmark, not a pooled estimate. Overlapping estimates from nested registries (county ⊂ state ⊂ SEER; SEER and NPCR feed USCS) are not independent and are retained only for the sensitivity re-selection.</w:t>
      </w:r>
    </w:p>
    <w:p>
      <w:pPr>
        <w:spacing w:after="80"/>
      </w:pPr>
      <w:r>
        <w:rPr>
          <w:rFonts w:ascii="Malgun Gothic" w:cs="Malgun Gothic" w:eastAsia="Malgun Gothic" w:hAnsi="Malgun Gothic"/>
          <w:i/>
          <w:iCs/>
          <w:sz w:val="18"/>
          <w:szCs w:val="18"/>
        </w:rPr>
        <w:t xml:space="preserve">Registry family: SEER-national = the pooled SEER 9/13/17/18/21/22 registries; USCS = United States Cancer Statistics, which pools SEER and NPCR to cover nearly the entire U.S. population; NAACCR = the North American Association of Central Cancer Registries; NPCR = the National Program of Cancer Registries; IHS-PRCDA = an Indian Health Service Purchased/Referred Care Delivery Area linkage that improves ascertainment of AI/AN cases; ANTR = the Alaska Native Tumor Registry; California-CCR = the California Cancer Registry; and “State: X” = a single state central registry (for example, Texas, Louisiana, or Massachusetts).</w:t>
      </w:r>
    </w:p>
    <w:p>
      <w:pPr>
        <w:spacing w:after="80"/>
      </w:pPr>
      <w:r>
        <w:rPr>
          <w:rFonts w:ascii="Malgun Gothic" w:cs="Malgun Gothic" w:eastAsia="Malgun Gothic" w:hAnsi="Malgun Gothic"/>
          <w:i/>
          <w:iCs/>
          <w:sz w:val="18"/>
          <w:szCs w:val="18"/>
        </w:rPr>
        <w:t xml:space="preserve">Comparator: the reference is shown as each source defined it — non-Hispanic White (NHW) where the source stratified by Hispanic origin, or “White (not NH-stratified)” otherwise (concentrated in the receptor-defined subtypes and AI/AN comparisons). The reference and minority rates come from the same source, period, and standard population, so each IRR is internally valid even where the reference is unstratified White; Supplementary Table 6c restricts to NHW-comparator estimates.</w:t>
      </w:r>
    </w:p>
    <w:p>
      <w:pPr>
        <w:spacing w:after="80"/>
      </w:pPr>
      <w:r>
        <w:rPr>
          <w:rFonts w:ascii="Malgun Gothic" w:cs="Malgun Gothic" w:eastAsia="Malgun Gothic" w:hAnsi="Malgun Gothic"/>
          <w:i/>
          <w:iCs/>
          <w:sz w:val="18"/>
          <w:szCs w:val="18"/>
        </w:rPr>
        <w:t xml:space="preserve">Standard population: age-standardized to the 2000 U.S. standard unless the “Std pop” column shows otherwise. Each rate ratio is formed within one study, so its numerator and denominator share that study's standard population, period, and region and the ratio is internally consistent. The ratio does not, however, cancel the standard population — the age-specific rates of two groups differ in shape, so a different set of standard weights would shift their standardized rates, and their ratio, by different amounts — nor does it make estimates from different studies mutually comparable, because their standard populations, periods, and regions still differ.</w:t>
      </w:r>
    </w:p>
    <w:p>
      <w:pPr>
        <w:spacing w:after="80"/>
      </w:pPr>
      <w:r>
        <w:rPr>
          <w:rFonts w:ascii="Malgun Gothic" w:cs="Malgun Gothic" w:eastAsia="Malgun Gothic" w:hAnsi="Malgun Gothic"/>
          <w:i/>
          <w:iCs/>
          <w:sz w:val="18"/>
          <w:szCs w:val="18"/>
        </w:rPr>
        <w:t xml:space="preserve">Main-analysis codes: “yes (representative)” = carried into the main analysis as the group's benchmark; “no (overlaps representative)” = an overlapping estimate for the same cell, used only when the representative is re-selected (Table 6); “no (AI/AN undercount)” = an unlinked-registry AI/AN estimate demoted in favour of the IHS-linked representative; “no (registry-direct anchor)” = the SEER-Explorer reference value, not a screened study; “no (external comparator)” = borrows an out-of-paper SEER-Explorer NHW rate, kept only as an overlap record; “no (no usable IRR)” = the source named the subgroup but reported no rate or ratio.</w:t>
      </w:r>
    </w:p>
    <w:p>
      <w:r>
        <w:br w:type="page"/>
      </w:r>
    </w:p>
    <w:p>
      <w:pPr>
        <w:spacing w:after="100" w:before="200"/>
      </w:pPr>
      <w:r>
        <w:rPr>
          <w:rFonts w:ascii="Malgun Gothic" w:cs="Malgun Gothic" w:eastAsia="Malgun Gothic" w:hAnsi="Malgun Gothic"/>
          <w:b/>
          <w:bCs/>
          <w:color w:val="000000"/>
          <w:sz w:val="24"/>
          <w:szCs w:val="24"/>
        </w:rPr>
        <w:t xml:space="preserve">Supplementary Table 5. Risk of bias (JBI checklist for studies reporting prevalence/incidence data)</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820"/>
        <w:gridCol w:w="934"/>
        <w:gridCol w:w="934"/>
        <w:gridCol w:w="934"/>
        <w:gridCol w:w="934"/>
        <w:gridCol w:w="934"/>
        <w:gridCol w:w="934"/>
        <w:gridCol w:w="934"/>
        <w:gridCol w:w="934"/>
        <w:gridCol w:w="2109"/>
      </w:tblGrid>
      <w:tr>
        <w:trPr>
          <w:tblHeader/>
        </w:trPr>
        <w:tc>
          <w:tcPr>
            <w:tcW w:type="dxa" w:w="4820"/>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Q1</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Q2</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Q3</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Q4</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Q5</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Q6</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Q7</w:t>
            </w:r>
          </w:p>
        </w:tc>
        <w:tc>
          <w:tcPr>
            <w:tcW w:type="dxa" w:w="934"/>
            <w:tcMar>
              <w:top w:type="dxa" w:w="25"/>
              <w:left w:type="dxa" w:w="70"/>
              <w:bottom w:type="dxa" w:w="25"/>
              <w:right w:type="dxa" w:w="70"/>
            </w:tcMar>
          </w:tcPr>
          <w:p>
            <w:r>
              <w:rPr>
                <w:rFonts w:ascii="Malgun Gothic" w:cs="Malgun Gothic" w:eastAsia="Malgun Gothic" w:hAnsi="Malgun Gothic"/>
                <w:b/>
                <w:bCs/>
                <w:sz w:val="15"/>
                <w:szCs w:val="15"/>
              </w:rPr>
              <w:t xml:space="preserve">Q8</w:t>
            </w:r>
          </w:p>
        </w:tc>
        <w:tc>
          <w:tcPr>
            <w:tcW w:type="dxa" w:w="2109"/>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LeeArgov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Zahnd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Wingo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Du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Moore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Shoemaker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Amirikia 2011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Eheman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Watanabe-Galloway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Wright 2022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Krieger 2018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Hossain 2019</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U</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Jin 2016</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482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93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w:t>
            </w:r>
          </w:p>
        </w:tc>
        <w:tc>
          <w:tcPr>
            <w:tcW w:type="dxa" w:w="2109"/>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Each item is rated Y (Yes), N (No), or U (Unclear); overall risk of bias is Low, Moderate, or High. Item 9 (survey response rate) was not applicable to any study — census-like registry ascertainment has no survey response rate — so it is omitted here and the rating uses the eight applicable items (Q1–Q8).</w:t>
      </w:r>
    </w:p>
    <w:p>
      <w:pPr>
        <w:spacing w:after="80"/>
      </w:pPr>
      <w:r>
        <w:rPr>
          <w:rFonts w:ascii="Malgun Gothic" w:cs="Malgun Gothic" w:eastAsia="Malgun Gothic" w:hAnsi="Malgun Gothic"/>
          <w:i/>
          <w:iCs/>
          <w:sz w:val="18"/>
          <w:szCs w:val="18"/>
        </w:rPr>
        <w:t xml:space="preserve">JBI items: Q1 sample frame appropriate to the target population (defined population-based registry); Q2 appropriate sampling (registry ascertains all diagnosed cases — census-like); Q3 adequate sample size for a stable age-adjusted rate; Q4 study subjects and setting described in detail; Q5 sufficient coverage of the identified population (registry completeness); Q6 valid identification of the condition (invasive breast cancer via registry/pathology record linkage); Q7 condition measured in a standard, reliable way for all participants, including race/ethnicity ascertainment (surname recognition or a known AI/AN undercount = No); Q8 appropriate statistical analysis (age-standardized to a stated standard population with a reported or correctly computed variance).</w:t>
      </w:r>
    </w:p>
    <w:p>
      <w:pPr>
        <w:spacing w:after="80"/>
      </w:pPr>
      <w:r>
        <w:rPr>
          <w:rFonts w:ascii="Malgun Gothic" w:cs="Malgun Gothic" w:eastAsia="Malgun Gothic" w:hAnsi="Malgun Gothic"/>
          <w:i/>
          <w:iCs/>
          <w:sz w:val="18"/>
          <w:szCs w:val="18"/>
        </w:rPr>
        <w:t xml:space="preserve">Overall risk of bias (over the eight applicable items; Q9 = NA excluded): Low = at most one item rated No and both key items (Q7 measurement, Q8 analysis) rated Yes; High = three or more items rated No; Moderate otherwise—so a single No or Unclear on either key item gives at least a Moderate rating. Of 58 studies assessed, 45 were Low, 13 Moderate, and 0 High; the Moderate ratings arise chiefly where an estimate was reported as a point value without a variance (Q8) or where race/ethnicity ascertainment was limited (Q7).</w:t>
      </w:r>
    </w:p>
    <w:p>
      <w:r>
        <w:br w:type="page"/>
      </w:r>
    </w:p>
    <w:p>
      <w:pPr>
        <w:spacing w:after="100" w:before="200"/>
      </w:pPr>
      <w:r>
        <w:rPr>
          <w:rFonts w:ascii="Malgun Gothic" w:cs="Malgun Gothic" w:eastAsia="Malgun Gothic" w:hAnsi="Malgun Gothic"/>
          <w:b/>
          <w:bCs/>
          <w:color w:val="000000"/>
          <w:sz w:val="24"/>
          <w:szCs w:val="24"/>
        </w:rPr>
        <w:t xml:space="preserve">Supplementary Table 6. Sensitivity analyses</w:t>
      </w:r>
    </w:p>
    <w:p>
      <w:pPr>
        <w:spacing w:after="80"/>
      </w:pPr>
      <w:r>
        <w:rPr>
          <w:rFonts w:ascii="Malgun Gothic" w:cs="Malgun Gothic" w:eastAsia="Malgun Gothic" w:hAnsi="Malgun Gothic"/>
          <w:i w:val="false"/>
          <w:iCs w:val="false"/>
          <w:sz w:val="18"/>
          <w:szCs w:val="18"/>
        </w:rPr>
        <w:t xml:space="preserve">Table 6a. Low-risk-of-bias only (Moderate/High-RoB studies dropped): 59 of 85 cells unchanged, 14 changed, 12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[0.692, 0.715]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0.791 [0.758, 0.825]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0.616 [0.596, 0.637]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0.828 [0.803, 0.854]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[0.908, 0.996]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0.562 [0.532, 0.595]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 — Miller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0.537 [0.506, 0.571] — Jin 2016</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1.17 [1.02, 1.35]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[0.99, 1.11]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[0.73, 0.96]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[1.00, 1.08]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 — Howlader 2014</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 — Nasseri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 [0.82, 1.31]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 [0.69, 0.79]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[0.81, 1.09] — Kong 2020</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6b. Directly-reported IRR only (estimates the review computed from rates, and the single SIR, are dropped): 35 unchanged, 4 changed, 46 dropped — most disaggregated and subtype cells rely on computed rates, because registries publish rates rather than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 — Baquet 2008</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 — Sung 2020</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 Ellington 2022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 — Zhang 2025</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 Pinheiro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 — Harper 2009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 — Ihenacho 2023</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 Kem 2007</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 Mills 2005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 Gomez 2026</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6c. Non-Hispanic White comparator only (unstratified-White comparators dropped): 66 of 85 cells unchanged, 1 changed, 18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 Nash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 — Melkonian 2021</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 — Anderson 2008</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 — Gleason 2012</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[0.54, 1.44]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[0.76,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[0.49, 0.70]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[0.57, 0.73]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[0.93, 1.15]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[1.01, 1.25]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[0.42, 1.24]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[0.61, 1.26]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[0.73, 1.47]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1.34 [0.96, 1.88]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Loo 2019</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available under this restriction</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6d. 2000 U.S. standard population only (estimates on other standard populations dropped): 83 of 85 cells unchanged, 2 changed, 0 dropped.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867"/>
        <w:gridCol w:w="2400"/>
        <w:gridCol w:w="4533"/>
        <w:gridCol w:w="4533"/>
        <w:gridCol w:w="1067"/>
      </w:tblGrid>
      <w:tr>
        <w:trPr>
          <w:tblHeader/>
        </w:trPr>
        <w:tc>
          <w:tcPr>
            <w:tcW w:type="dxa" w:w="1867"/>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400"/>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Main analysis: IRR [95% CI] — study</w:t>
            </w:r>
          </w:p>
        </w:tc>
        <w:tc>
          <w:tcPr>
            <w:tcW w:type="dxa" w:w="4533"/>
            <w:tcMar>
              <w:top w:type="dxa" w:w="25"/>
              <w:left w:type="dxa" w:w="70"/>
              <w:bottom w:type="dxa" w:w="25"/>
              <w:right w:type="dxa" w:w="70"/>
            </w:tcMar>
          </w:tcPr>
          <w:p>
            <w:r>
              <w:rPr>
                <w:rFonts w:ascii="Malgun Gothic" w:cs="Malgun Gothic" w:eastAsia="Malgun Gothic" w:hAnsi="Malgun Gothic"/>
                <w:b/>
                <w:bCs/>
                <w:sz w:val="15"/>
                <w:szCs w:val="15"/>
              </w:rPr>
              <w:t xml:space="preserve">Under restriction: IRR [95% CI] — study</w:t>
            </w:r>
          </w:p>
        </w:tc>
        <w:tc>
          <w:tcPr>
            <w:tcW w:type="dxa" w:w="1067"/>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18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 — Davis Lynn 2025</w:t>
            </w:r>
          </w:p>
        </w:tc>
        <w:tc>
          <w:tcPr>
            <w:tcW w:type="dxa" w:w="453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 — Gleason 2012</w:t>
            </w:r>
          </w:p>
        </w:tc>
        <w:tc>
          <w:tcPr>
            <w:tcW w:type="dxa" w:w="106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iCs/>
          <w:sz w:val="18"/>
          <w:szCs w:val="18"/>
        </w:rPr>
        <w:t xml:space="preserve">The first value column is the representative estimate in the main analysis; the second is the representative re-selected after applying the restriction (low-risk-of-bias only in Table 6a; directly reported IRR only in Table 6b, where the SIR is excluded because it standardizes indirectly to the reference population; NHW-comparator only in Table 6c; 2000 U.S. standard population only in Table 6d). Each value is followed by the study that supplied it, so a changed cell shows both the study that is replaced and the study that replaces it. Status: unchanged = the same study remains the representative; changed = a different study becomes the representative; dropped = no estimate in that cell met the restriction. Every changed and dropped cell is listed; the cells not listed were unchanged. A dropped cell is not evidence that the main estimate is robust — the restriction leaves that cell untested, so dropped cells should be read as unexamined under that restriction rather than as confirmation.</w:t>
      </w:r>
    </w:p>
    <w:p>
      <w:r>
        <w:br w:type="page"/>
      </w:r>
    </w:p>
    <w:p>
      <w:pPr>
        <w:spacing w:after="100" w:before="200"/>
      </w:pPr>
      <w:r>
        <w:rPr>
          <w:rFonts w:ascii="Malgun Gothic" w:cs="Malgun Gothic" w:eastAsia="Malgun Gothic" w:hAnsi="Malgun Gothic"/>
          <w:b/>
          <w:bCs/>
          <w:color w:val="000000"/>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Every estimate whose IRR was not printed as-is by the study is listed here with how it was derived, so each is reproducible. Estimates reported by the source as a ratio (`directly-reported-IRR` / `-SIR`) are taken verbatim and are not in this log.</w:t>
      </w:r>
    </w:p>
    <w:p>
      <w:pPr>
        <w:spacing w:after="100" w:before="200"/>
      </w:pPr>
      <w:r>
        <w:rPr>
          <w:rFonts w:ascii="Malgun Gothic" w:cs="Malgun Gothic" w:eastAsia="Malgun Gothic" w:hAnsi="Malgun Gothic"/>
          <w:b/>
          <w:bCs/>
          <w:color w:val="000000"/>
          <w:sz w:val="20"/>
          <w:szCs w:val="20"/>
        </w:rPr>
        <w:t xml:space="preserve">1. Age-standardization from age-specific rates</w:t>
      </w:r>
    </w:p>
    <w:p>
      <w:pPr>
        <w:spacing w:after="80"/>
        <w:ind w:left="360" w:hanging="180"/>
      </w:pPr>
      <w:r>
        <w:rPr>
          <w:rFonts w:ascii="Malgun Gothic" w:cs="Malgun Gothic" w:eastAsia="Malgun Gothic" w:hAnsi="Malgun Gothic"/>
          <w:i w:val="false"/>
          <w:iCs w:val="false"/>
          <w:sz w:val="18"/>
          <w:szCs w:val="18"/>
        </w:rPr>
        <w:t xml:space="preserve">•  Howlader 2014 (Suppl Table 3). The supplement reports 5-year age-specific incidence rates (ages 20–85+) by race × subtype, not a single age-adjusted rate. Each race's 14 age-specific rates were standardized to the 2000 US standard population (Census P25-1130 weights for the 20–85+ groups): std_rate = Σ(rate_i·w_i)/Σw_i. IRR = minority_std / NHW_std.</w:t>
      </w:r>
    </w:p>
    <w:p>
      <w:pPr>
        <w:spacing w:after="80"/>
        <w:ind w:left="720" w:hanging="180"/>
      </w:pPr>
      <w:r>
        <w:rPr>
          <w:rFonts w:ascii="Malgun Gothic" w:cs="Malgun Gothic" w:eastAsia="Malgun Gothic" w:hAnsi="Malgun Gothic"/>
          <w:i w:val="false"/>
          <w:iCs w:val="false"/>
          <w:sz w:val="18"/>
          <w:szCs w:val="18"/>
        </w:rPr>
        <w:t xml:space="preserve">–  Alignment verified against printed anchors (HR+/HER2− NHW 45–49 = 128.2, 75–79 = 342.7; TNBC NHW 35–39 = 9.7).</w:t>
      </w:r>
    </w:p>
    <w:p>
      <w:pPr>
        <w:spacing w:after="80"/>
        <w:ind w:left="720" w:hanging="180"/>
      </w:pPr>
      <w:r>
        <w:rPr>
          <w:rFonts w:ascii="Malgun Gothic" w:cs="Malgun Gothic" w:eastAsia="Malgun Gothic" w:hAnsi="Malgun Gothic"/>
          <w:i w:val="false"/>
          <w:iCs w:val="false"/>
          <w:sz w:val="18"/>
          <w:szCs w:val="18"/>
        </w:rPr>
        <w:t xml:space="preserve">–  95% CIs computed by variance propagation. Suppl Table 3 reports a 95% CI for every age-specific rate. SE per band = (hi−lo)/(2·1.96); Var(std_rate) = Σ(w_i/Σw)²·SE_i²; SE(logIRR) = √[(SE_min/std_min)² + (SE_nhw/std_nhw)²]. Provenance = `computed-from-rates-with-CI` (e.g., TNBC Black 1.82 [1.70, 1.95], HR+/HER2− AANHPI 0.69 [0.66, 0.72]).</w:t>
      </w:r>
    </w:p>
    <w:p>
      <w:pPr>
        <w:spacing w:after="80"/>
        <w:ind w:left="720" w:hanging="180"/>
      </w:pPr>
      <w:r>
        <w:rPr>
          <w:rFonts w:ascii="Malgun Gothic" w:cs="Malgun Gothic" w:eastAsia="Malgun Gothic" w:hAnsi="Malgun Gothic"/>
          <w:i w:val="false"/>
          <w:iCs w:val="false"/>
          <w:sz w:val="18"/>
          <w:szCs w:val="18"/>
        </w:rPr>
        <w:t xml:space="preserve">–  IRR is essentially unaffected by the 20+ vs all-age standard (ages 0–19 contribute ≈0 to both numerator and denominator).</w:t>
      </w:r>
    </w:p>
    <w:p>
      <w:pPr>
        <w:spacing w:after="80"/>
        <w:ind w:left="360" w:hanging="180"/>
      </w:pPr>
      <w:r>
        <w:rPr>
          <w:rFonts w:ascii="Malgun Gothic" w:cs="Malgun Gothic" w:eastAsia="Malgun Gothic" w:hAnsi="Malgun Gothic"/>
          <w:i w:val="false"/>
          <w:iCs w:val="false"/>
          <w:sz w:val="18"/>
          <w:szCs w:val="18"/>
        </w:rPr>
        <w:t xml:space="preserve">•  Amirikia 2011 (Amirikia 2011, CCR). Table 2 gives TNBC rates by 5 age groups (0–39, 40–49, 50–59, 60–74, ≥75) per race; standardized to the 2000 US standard (P25-1130 group weights) → all-ages TNBC rates NHB 23.6, NHW 12.6, Hispanic 10.2 (reproduces our values). IRR = minority/NHW (point; source gives per-age CIs only): Black 1.87, Hispanic 0.81.</w:t>
      </w:r>
    </w:p>
    <w:p>
      <w:pPr>
        <w:spacing w:after="100" w:before="200"/>
      </w:pPr>
      <w:r>
        <w:rPr>
          <w:rFonts w:ascii="Malgun Gothic" w:cs="Malgun Gothic" w:eastAsia="Malgun Gothic" w:hAnsi="Malgun Gothic"/>
          <w:b/>
          <w:bCs/>
          <w:color w:val="000000"/>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 sqrt(SE_min² + SE_nhw²), SE(log rate) = (ln hi − ln lo)/(2·1.96); provenance `computed-from-rates-with-CI`. Rate without CI → point IRR only; provenance `computed-from-rates` (or `directly-reported-rate` where the source printed the rate). The records in each class:</w:t>
      </w:r>
    </w:p>
    <w:p>
      <w:pPr>
        <w:spacing w:after="80"/>
        <w:ind w:left="360" w:hanging="180"/>
      </w:pPr>
      <w:r>
        <w:rPr>
          <w:rFonts w:ascii="Malgun Gothic" w:cs="Malgun Gothic" w:eastAsia="Malgun Gothic" w:hAnsi="Malgun Gothic"/>
          <w:i w:val="false"/>
          <w:iCs w:val="false"/>
          <w:sz w:val="18"/>
          <w:szCs w:val="18"/>
        </w:rPr>
        <w:t xml:space="preserve">•  with CI: Davis Lynn 2025, Loo 2019, Gleason 2012, Du 2022, Anderson 2008, Keegan 2010, Richardson 2016, Eheman 2009, Liu 2015, Ihenacho 2023, Xie 2022, Wright 2022, Krieger 2018, Carozza 2006, Gomez 2003, Miller 2008.</w:t>
      </w:r>
    </w:p>
    <w:p>
      <w:pPr>
        <w:spacing w:after="80"/>
        <w:ind w:left="360" w:hanging="180"/>
      </w:pPr>
      <w:r>
        <w:rPr>
          <w:rFonts w:ascii="Malgun Gothic" w:cs="Malgun Gothic" w:eastAsia="Malgun Gothic" w:hAnsi="Malgun Gothic"/>
          <w:i w:val="false"/>
          <w:iCs w:val="false"/>
          <w:sz w:val="18"/>
          <w:szCs w:val="18"/>
        </w:rPr>
        <w:t xml:space="preserve">•  Eheman 2009 (Eheman 2009, NPCR+SEER, 44 states + DC, 1999–2004). Table 5 prints age-standardized (2000 US) total invasive lobular/ductal/mixed breast IR with 95% CIs by race, White 108.1 [107.9–108.3]: Black 89.3/108.1 = 0.826 [0.820, 0.832], Asian/PI 51.3/108.1 = 0.475 [0.458, 0.492], AI/AN 68.1/108.1 = 0.630 [0.622, 0.639] (delta method). Comparator is unstratified White; a national estimate over the ductal/lobular/mixed subset (~87% of invasive breast), each entering its aggregate-vs-NHW cell as a sensitivity overlap of the USCS-national representative (Ellington 2022), which it does not displace (lower coverage, unstratified comparator, older period).</w:t>
      </w:r>
    </w:p>
    <w:p>
      <w:pPr>
        <w:spacing w:after="80"/>
        <w:ind w:left="360" w:hanging="180"/>
      </w:pPr>
      <w:r>
        <w:rPr>
          <w:rFonts w:ascii="Malgun Gothic" w:cs="Malgun Gothic" w:eastAsia="Malgun Gothic" w:hAnsi="Malgun Gothic"/>
          <w:i w:val="false"/>
          <w:iCs w:val="false"/>
          <w:sz w:val="18"/>
          <w:szCs w:val="18"/>
        </w:rPr>
        <w:t xml:space="preserve">•  Liu 2015 (Liu 2015, Texas Cancer Registry, 1995–2011). Table II prints age-adjusted (2000 US) breast IR with 95% CIs, White 136.14 [131.91–140.37], Black 131.90 [129.40–134.40]: Black/White = 0.969 [0.934, 1.005] (delta method). Comparator is unstratified White; the paper's own stage/grade-adjusted incidence ratio is 0.98 [0.97, 0.99]. A single-state estimate entering the Black aggregate-vs-NHW cell as a sensitivity overlap of the national representative.</w:t>
      </w:r>
    </w:p>
    <w:p>
      <w:pPr>
        <w:spacing w:after="80"/>
        <w:ind w:left="360" w:hanging="180"/>
      </w:pPr>
      <w:r>
        <w:rPr>
          <w:rFonts w:ascii="Malgun Gothic" w:cs="Malgun Gothic" w:eastAsia="Malgun Gothic" w:hAnsi="Malgun Gothic"/>
          <w:i w:val="false"/>
          <w:iCs w:val="false"/>
          <w:sz w:val="18"/>
          <w:szCs w:val="18"/>
        </w:rPr>
        <w:t xml:space="preserve">•  Krieger 2018 (Krieger 2018, Massachusetts Cancer Registry, 2010–2014). Table 2 prints age-standardized (2000 US) breast incidence rates with 95% CIs by race, NHW 140.8 [139.0–142.7]: NHB 113.6/140.8 = 0.807 [0.762, 0.855], Hispanic 86.9/140.8 = 0.617 [0.578, 0.660], Asian/PI 90.4/140.8 = 0.642 [0.597, 0.690], AI/AN 64.1/140.8 = 0.455 [0.292, 0.709] (delta method from the reported rate CIs). A single-state estimate;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Wright 2022 (Wright/Krieger 2022, Massachusetts Cancer Registry, 28 HOLC municipalities, 2005–2015). Table 3 prints age-standardized (2000 US) breast IR by race, NHW 146.56 [143.91–149.25]: NHB 119.06/146.56 = 0.812 [0.772, 0.855], Hispanic 83.71 = 0.571 [0.529, 0.617], Asian/PI 83.15 = 0.567 [0.526, 0.612], AI/AN 82.57 = 0.563 [0.330, 0.963] (delta method). A single-state estimate (overlaps the national aggregate reps and the other Massachusetts study, Krieger 2018).</w:t>
      </w:r>
    </w:p>
    <w:p>
      <w:pPr>
        <w:spacing w:after="80"/>
        <w:ind w:left="360" w:hanging="180"/>
      </w:pPr>
      <w:r>
        <w:rPr>
          <w:rFonts w:ascii="Malgun Gothic" w:cs="Malgun Gothic" w:eastAsia="Malgun Gothic" w:hAnsi="Malgun Gothic"/>
          <w:i w:val="false"/>
          <w:iCs w:val="false"/>
          <w:sz w:val="18"/>
          <w:szCs w:val="18"/>
        </w:rPr>
        <w:t xml:space="preserve">•  Du 2022 (Du 2022, SEER 18, 2000–2018). The table prints age-adjusted rates (2000 US std) by race with 95% CIs, referenced to Asian/PI (not NHW). We recompute each group's IRR vs NHW from the same-source rates and rate CIs by the delta method (minority IR / NHW IR 190.4 [190.0–190.8]): Asian/PI 141.3/190.4 = 0.742 [0.737, 0.747], NHB 178.4/190.4 = 0.937 [0.931, 0.943], AI/AN 128.8/190.4 = 0.676 [0.659, 0.695], Hispanic 133.3/190.4 = 0.700 [0.696, 0.705]. SEER-18 overall estimates; each enters its aggregate-vs-NHW cell as a sensitivity overlap of the USCS-national representative.</w:t>
      </w:r>
    </w:p>
    <w:p>
      <w:pPr>
        <w:spacing w:after="80"/>
        <w:ind w:left="360" w:hanging="180"/>
      </w:pPr>
      <w:r>
        <w:rPr>
          <w:rFonts w:ascii="Malgun Gothic" w:cs="Malgun Gothic" w:eastAsia="Malgun Gothic" w:hAnsi="Malgun Gothic"/>
          <w:i w:val="false"/>
          <w:iCs w:val="false"/>
          <w:sz w:val="18"/>
          <w:szCs w:val="18"/>
        </w:rPr>
        <w:t xml:space="preserve">•  Loo 2019 (Loo 2019, Hawaii HTR). The source printed IRRs with implausibly narrow CIs (e.g. Native Hawaiian HR+/HER2+ 1.35 [1.347–1.351]); its Table 1 rate CIs, however, are correct for the sample sizes. We therefore discard the source IRR CIs and recompute each subtype IRR and its CI from the Table 1 age-adjusted rates and rate CIs by the delta method (minority IR / White IR; comparator = unstratified Whites, †). Example: Chinese HR+/HER2− 66.8 [56.9–78.1] / White 114.3 [106.4–122.6] = 0.58 [0.49, 0.70] (source gave 0.58 [0.46–0.53], which excluded its own point estimate). Verified: recomputed points reproduce the source IRRs (e.g. Japanese HR+/HER2− 118.1/114.3 = 1.03).</w:t>
      </w:r>
    </w:p>
    <w:p>
      <w:pPr>
        <w:spacing w:after="80"/>
        <w:ind w:left="360" w:hanging="180"/>
      </w:pPr>
      <w:r>
        <w:rPr>
          <w:rFonts w:ascii="Malgun Gothic" w:cs="Malgun Gothic" w:eastAsia="Malgun Gothic" w:hAnsi="Malgun Gothic"/>
          <w:i w:val="false"/>
          <w:iCs w:val="false"/>
          <w:sz w:val="18"/>
          <w:szCs w:val="18"/>
        </w:rPr>
        <w:t xml:space="preserve">•  point only (no CI): Liu 2012, Lund 2010, Watanabe-Galloway 2015, Harper 2009, McCracken 2007.</w:t>
      </w:r>
    </w:p>
    <w:p>
      <w:pPr>
        <w:spacing w:after="80"/>
        <w:ind w:left="360" w:hanging="180"/>
      </w:pPr>
      <w:r>
        <w:rPr>
          <w:rFonts w:ascii="Malgun Gothic" w:cs="Malgun Gothic" w:eastAsia="Malgun Gothic" w:hAnsi="Malgun Gothic"/>
          <w:i w:val="false"/>
          <w:iCs w:val="false"/>
          <w:sz w:val="18"/>
          <w:szCs w:val="18"/>
        </w:rPr>
        <w:t xml:space="preserve">•  Handled in other sections: §1 (Howlader 2014), §4 (Gomez 2026, Pinheiro 2009, Nash 2022), §4b (Wilkinson 2002), and the Poisson-SE records in §3.</w:t>
      </w:r>
    </w:p>
    <w:p>
      <w:pPr>
        <w:spacing w:after="80"/>
        <w:ind w:left="360" w:hanging="180"/>
      </w:pPr>
      <w:r>
        <w:rPr>
          <w:rFonts w:ascii="Malgun Gothic" w:cs="Malgun Gothic" w:eastAsia="Malgun Gothic" w:hAnsi="Malgun Gothic"/>
          <w:i w:val="false"/>
          <w:iCs w:val="false"/>
          <w:sz w:val="18"/>
          <w:szCs w:val="18"/>
        </w:rPr>
        <w:t xml:space="preserve">•  Davis Lynn 2025 rates use the Segi world 1960 standard (ages 20–74), not 2000 US — the IRR remains comparable (a ratio); the absolute scale differs (flagged in-row).</w:t>
      </w:r>
    </w:p>
    <w:p>
      <w:pPr>
        <w:spacing w:after="80"/>
        <w:ind w:left="360" w:hanging="180"/>
      </w:pPr>
      <w:r>
        <w:rPr>
          <w:rFonts w:ascii="Malgun Gothic" w:cs="Malgun Gothic" w:eastAsia="Malgun Gothic" w:hAnsi="Malgun Gothic"/>
          <w:i w:val="false"/>
          <w:iCs w:val="false"/>
          <w:sz w:val="18"/>
          <w:szCs w:val="18"/>
        </w:rPr>
        <w:t xml:space="preserve">•  Anderson 2008, Richardson 2016 use "White"/"Black" not NH-stratified (Richardson 2016 White incl. Hispanic); Anderson 2008 is the crossover from printed age-specific rates.</w:t>
      </w:r>
    </w:p>
    <w:p>
      <w:pPr>
        <w:spacing w:after="80"/>
        <w:ind w:left="360" w:hanging="180"/>
      </w:pPr>
      <w:r>
        <w:rPr>
          <w:rFonts w:ascii="Malgun Gothic" w:cs="Malgun Gothic" w:eastAsia="Malgun Gothic" w:hAnsi="Malgun Gothic"/>
          <w:i w:val="false"/>
          <w:iCs w:val="false"/>
          <w:sz w:val="18"/>
          <w:szCs w:val="18"/>
        </w:rPr>
        <w:t xml:space="preserve">•  Carozza 2006 (Carozza 2006, NAACCR/CiNA, 15 registries, 1995–2000). The table reports female invasive breast rates with standard errors (2000 US std): Latina 89.2 (SE 0.44), non-Hispanic White 138.7 (SE 0.21). IRR = 89.2/138.7 = 0.643, reproducing the paper's printed SIR of 0.64; 95% CI (0.637, 0.650) by the delta method from the reported rate SEs (rate CIs = rate ± 1.96·SE). An all-Hispanic multi-state estimate; enters the overall Hispanic aggregate cell as a sensitivity overlap of the USCS-national representative (Ellington 2022, 0.72), and overlaps Wilkinson 2002 (Miami Hispanic).</w:t>
      </w:r>
    </w:p>
    <w:p>
      <w:pPr>
        <w:spacing w:after="80"/>
        <w:ind w:left="360" w:hanging="180"/>
      </w:pPr>
      <w:r>
        <w:rPr>
          <w:rFonts w:ascii="Malgun Gothic" w:cs="Malgun Gothic" w:eastAsia="Malgun Gothic" w:hAnsi="Malgun Gothic"/>
          <w:i w:val="false"/>
          <w:iCs w:val="false"/>
          <w:sz w:val="18"/>
          <w:szCs w:val="18"/>
        </w:rPr>
        <w:t xml:space="preserve">•  Watanabe-Galloway 2015 (Watanabe-Galloway 2015, NE/ND/SD state registries, 2002-2009). Table 2 prints all-ages age-standardized (2000 US) breast rates: AI/AN 134.6, NHW 149.3 (printed RR 0.9). IRR = 134.6/149.3 = 0.902, point estimate only (no rate confidence intervals reported). These NE/ND/SD registries are unlinked and undercount AI/AN. The IHS-PRCDA Melkonian 2019 study (Melkonian 2019) also reports a Northern-Plains breast estimate (RR 1.05), so Watanabe-Galloway 2015 is not the only Northern-Plains source; because the IHS-linked source corrects the AI/AN undercount, Melkonian 2019 (1.05) is the Northern-Plains representative and Watanabe-Galloway 2015 (0.902, unlinked, undercount-prone) is demoted to an overlap/sensitivity row.</w:t>
      </w:r>
    </w:p>
    <w:p>
      <w:pPr>
        <w:spacing w:after="100" w:before="200"/>
      </w:pPr>
      <w:r>
        <w:rPr>
          <w:rFonts w:ascii="Malgun Gothic" w:cs="Malgun Gothic" w:eastAsia="Malgun Gothic" w:hAnsi="Malgun Gothic"/>
          <w:b/>
          <w:bCs/>
          <w:color w:val="000000"/>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Where a study reports rates and annual case counts but no ratio CI, SE(logIRR) = sqrt(1/D_min + 1/D_nhw) (D = cases); provenance `computed-from-rates-Poisson-SE`. Limitation: these are age-standardized rates, so a total-count Poisson SE does not fully capture the age-specific weighting of the variance; it is a deliberate approximation used only where the source reported no rate SE or interval. Where a source did report rate CIs the CI is instead propagated by the delta method (§1, §4, §4b) — e.g. Cronin 2012 (Cronin) was moved to a delta-method CI from its printed rate CIs (Black 116.9 [116.2–117.6], White 122.1 [121.8–122.3]), giving 0.957 [0.951, 0.963] in place of the earlier total-count Poisson interval.</w:t>
      </w:r>
    </w:p>
    <w:p>
      <w:pPr>
        <w:spacing w:after="80"/>
        <w:ind w:left="360" w:hanging="180"/>
      </w:pPr>
      <w:r>
        <w:rPr>
          <w:rFonts w:ascii="Malgun Gothic" w:cs="Malgun Gothic" w:eastAsia="Malgun Gothic" w:hAnsi="Malgun Gothic"/>
          <w:i w:val="false"/>
          <w:iCs w:val="false"/>
          <w:sz w:val="18"/>
          <w:szCs w:val="18"/>
        </w:rPr>
        <w:t xml:space="preserve">•  Ellington 2022 (USCS). Aggregate age-adjusted rates for women aged ≥20 (USCS, ~99% coverage): Black 174.0, Hispanic 134.0, Asian/PI 143.5, AI/AN 127.3, vs NHW 186.5; the paper reports rates, not ratios. IRR = minority / 186.5, with the CI from the annual case counts (e.g., Black 0.933 [0.920, 0.946], Hispanic 0.718 [0.707, 0.731]). This supplies three of the four aggregate overall estimates.</w:t>
      </w:r>
    </w:p>
    <w:p>
      <w:pPr>
        <w:spacing w:after="80"/>
        <w:ind w:left="360" w:hanging="180"/>
      </w:pPr>
      <w:r>
        <w:rPr>
          <w:rFonts w:ascii="Malgun Gothic" w:cs="Malgun Gothic" w:eastAsia="Malgun Gothic" w:hAnsi="Malgun Gothic"/>
          <w:i w:val="false"/>
          <w:iCs w:val="false"/>
          <w:sz w:val="18"/>
          <w:szCs w:val="18"/>
        </w:rPr>
        <w:t xml:space="preserve">•  Mills 2005 (Hmong-California). Hmong female breast AAIR 23.8 (39 cases) vs NHW 145.5; only the Hmong case count (39) is available, so SE(logIRR) = 1/sqrt(39) = 0.160 with the large NHW denominator treated as fixed (1/D_nhw ~ 0). IRR 0.164 (0.120-0.224). Period mismatch (Hmong 1988-2000 vs NHW 1995-1999) flagged in-row.</w:t>
      </w:r>
    </w:p>
    <w:p>
      <w:pPr>
        <w:spacing w:after="80"/>
        <w:ind w:left="360" w:hanging="180"/>
      </w:pPr>
      <w:r>
        <w:rPr>
          <w:rFonts w:ascii="Malgun Gothic" w:cs="Malgun Gothic" w:eastAsia="Malgun Gothic" w:hAnsi="Malgun Gothic"/>
          <w:i w:val="false"/>
          <w:iCs w:val="false"/>
          <w:sz w:val="18"/>
          <w:szCs w:val="18"/>
        </w:rPr>
        <w:t xml:space="preserve">•  Kem 2007 (Cambodian CA+PugetSound). Author-reported Cambodian/ White ratio 0.26 (surname-method "high rate" 41.0 / NHW 155.5); the high/low rate bracket 34.8-41.0 is an ethnic-identification uncertainty range, not a 95% CI, so SE(logIRR) = 1/sqrt(58) = 0.131 from the 58 Cambodian cases. IRR 0.264 (0.204-0.341).</w:t>
      </w:r>
    </w:p>
    <w:p>
      <w:pPr>
        <w:spacing w:after="100" w:before="200"/>
      </w:pPr>
      <w:r>
        <w:rPr>
          <w:rFonts w:ascii="Malgun Gothic" w:cs="Malgun Gothic" w:eastAsia="Malgun Gothic" w:hAnsi="Malgun Gothic"/>
          <w:b/>
          <w:bCs/>
          <w:color w:val="000000"/>
          <w:sz w:val="20"/>
          <w:szCs w:val="20"/>
        </w:rPr>
        <w:t xml:space="preserve">4. NHW comparator reported apart from the minority rates (same-paper companion table or supplement; Nash 2022 the one external comparator)</w:t>
      </w:r>
    </w:p>
    <w:p>
      <w:pPr>
        <w:spacing w:after="80"/>
        <w:ind w:left="360" w:hanging="180"/>
      </w:pPr>
      <w:r>
        <w:rPr>
          <w:rFonts w:ascii="Malgun Gothic" w:cs="Malgun Gothic" w:eastAsia="Malgun Gothic" w:hAnsi="Malgun Gothic"/>
          <w:i w:val="false"/>
          <w:iCs w:val="false"/>
          <w:sz w:val="18"/>
          <w:szCs w:val="18"/>
        </w:rPr>
        <w:t xml:space="preserve">•  Gomez 2026. Disaggregated AANHPI rates are in the main Table (2018–2022, SEER-21); the in-paper NHW comparator is eTable 3 (Supplement 1): Non-Hispanic White 139.5 (139.0–140.0), same registry (SEER-21), same period (2018–2022), same standard (2000 US). IRRs = subgroup rate / 139.5 with 95% CIs propagated from both rate CIs.</w:t>
      </w:r>
    </w:p>
    <w:p>
      <w:pPr>
        <w:spacing w:after="80"/>
        <w:ind w:left="360" w:hanging="180"/>
      </w:pPr>
      <w:r>
        <w:rPr>
          <w:rFonts w:ascii="Malgun Gothic" w:cs="Malgun Gothic" w:eastAsia="Malgun Gothic" w:hAnsi="Malgun Gothic"/>
          <w:i w:val="false"/>
          <w:iCs w:val="false"/>
          <w:sz w:val="18"/>
          <w:szCs w:val="18"/>
        </w:rPr>
        <w:t xml:space="preserve">•  Pinheiro 2009. Table 4 gives origin-specific female-breast rates with 95% CIs (Cuban 108.0, Mexican 71.9, New Latino 97.8, Puerto Rican 116.9), and the non-Hispanic White Florida comparator is reported in Table 2: 140.4 (137.6–143.2), same registry (Florida, 1999–2001), same standard (2000 US). IRR = origin rate / 140.4, with the 95% CI propagated from both rate CIs by the delta method (e.g., Cuban 0.769 [0.688, 0.860]). These reproduce the authors' printed rounded rate ratios (0.8/0.5/0.7/0.8).</w:t>
      </w:r>
    </w:p>
    <w:p>
      <w:pPr>
        <w:spacing w:after="80"/>
        <w:ind w:left="360" w:hanging="180"/>
      </w:pPr>
      <w:r>
        <w:rPr>
          <w:rFonts w:ascii="Malgun Gothic" w:cs="Malgun Gothic" w:eastAsia="Malgun Gothic" w:hAnsi="Malgun Gothic"/>
          <w:i w:val="false"/>
          <w:iCs w:val="false"/>
          <w:sz w:val="18"/>
          <w:szCs w:val="18"/>
        </w:rPr>
        <w:t xml:space="preserve">•  Nash 2022 (Alaska Native). Paper is ANTR-only (Alaska Native people), no in-paper NHW. AN female breast 130.8 (116.7-146.0), 2014-2018, 2000 US std. Paired with the SEER-Explorer NHW observed annual mean for the SAME window (2014-2018 = 137.4, 2000 US std). IRR 0.952 (0.851-1.065). This overlaps Nash 2019 (same ANTR registry, 2009-2014), which reports a directly-reported IRR 1.09 (0.99-1.21) vs an in-paper US White reference; Nash 2019 is the cell representative and Nash 2022 is a sensitivity/overlap estimate (the 0.95 vs 1.09 difference reflects the different period and the external NHW denominator).</w:t>
      </w:r>
    </w:p>
    <w:p>
      <w:pPr>
        <w:spacing w:after="100" w:before="200"/>
      </w:pPr>
      <w:r>
        <w:rPr>
          <w:rFonts w:ascii="Malgun Gothic" w:cs="Malgun Gothic" w:eastAsia="Malgun Gothic" w:hAnsi="Malgun Gothic"/>
          <w:b/>
          <w:bCs/>
          <w:color w:val="000000"/>
          <w:sz w:val="20"/>
          <w:szCs w:val="20"/>
        </w:rPr>
        <w:t xml:space="preserve">4b. IRR CI from reported standard errors of rates</w:t>
      </w:r>
    </w:p>
    <w:p>
      <w:pPr>
        <w:spacing w:after="80"/>
        <w:ind w:left="360" w:hanging="180"/>
      </w:pPr>
      <w:r>
        <w:rPr>
          <w:rFonts w:ascii="Malgun Gothic" w:cs="Malgun Gothic" w:eastAsia="Malgun Gothic" w:hAnsi="Malgun Gothic"/>
          <w:i w:val="false"/>
          <w:iCs w:val="false"/>
          <w:sz w:val="18"/>
          <w:szCs w:val="18"/>
        </w:rPr>
        <w:t xml:space="preserve">•  Wilkinson 2002 (Miami-Dade Hispanic). Table 1 gives invasive breast rates with SEs: Hispanic 81.9 (SE 1.2), NHW 125.8 (SE 2.0), 1990-1998. IRR = 81.9/125.8 = 0.651; SE(log rate) = SE_rate/rate; SE(logIRR) = sqrt((1.2/81.9)^2 + (2.0/125.8)^2) = 0.0216 → IRR 0.651 (0.624-0.679). Regional aggregate Hispanic (Cuban-heavy); enters the overall Hispanic aggregate cell as a sensitivity overlap (with Carozza 2006) of the USCS-national representative (Ellington 2022).</w:t>
      </w:r>
    </w:p>
    <w:p>
      <w:pPr>
        <w:spacing w:after="100" w:before="200"/>
      </w:pPr>
      <w:r>
        <w:rPr>
          <w:rFonts w:ascii="Malgun Gothic" w:cs="Malgun Gothic" w:eastAsia="Malgun Gothic" w:hAnsi="Malgun Gothic"/>
          <w:b/>
          <w:bCs/>
          <w:color w:val="000000"/>
          <w:sz w:val="20"/>
          <w:szCs w:val="20"/>
        </w:rPr>
        <w:t xml:space="preserve">5. Author-reported rate ratios taken as directly reported</w:t>
      </w:r>
    </w:p>
    <w:p>
      <w:pPr>
        <w:spacing w:after="80"/>
        <w:ind w:left="360" w:hanging="180"/>
      </w:pPr>
      <w:r>
        <w:rPr>
          <w:rFonts w:ascii="Malgun Gothic" w:cs="Malgun Gothic" w:eastAsia="Malgun Gothic" w:hAnsi="Malgun Gothic"/>
          <w:i w:val="false"/>
          <w:iCs w:val="false"/>
          <w:sz w:val="18"/>
          <w:szCs w:val="18"/>
        </w:rPr>
        <w:t xml:space="preserve">•  Nasseri 2009 (Middle Eastern-California). The authors print the rate ratio and its CI: invasive breast 0.86 (126.2/146.9, 95% CI 0.84-0.88); taken as `directly-reported-IRR`. Source states the US 2000 standard (incidence-table footnote: "Rates are age adjusted to the US 2000 population standards").</w:t>
      </w:r>
    </w:p>
    <w:p>
      <w:pPr>
        <w:spacing w:after="80"/>
        <w:ind w:left="360" w:hanging="180"/>
      </w:pPr>
      <w:r>
        <w:rPr>
          <w:rFonts w:ascii="Malgun Gothic" w:cs="Malgun Gothic" w:eastAsia="Malgun Gothic" w:hAnsi="Malgun Gothic"/>
          <w:i w:val="false"/>
          <w:iCs w:val="false"/>
          <w:sz w:val="18"/>
          <w:szCs w:val="18"/>
        </w:rPr>
        <w:t xml:space="preserve">•  Goggins 2009 (Asian Indian/Pakistani). Table 1 prints the female breast SIR relative to US White = 0.61 (0.56-0.66); `directly-reported-SIR`. Overlaps Gomez 2026 Asian Indian/Pakistani (sensitivity).</w:t>
      </w:r>
    </w:p>
    <w:p>
      <w:pPr>
        <w:spacing w:after="100" w:before="200"/>
      </w:pPr>
      <w:r>
        <w:rPr>
          <w:rFonts w:ascii="Malgun Gothic" w:cs="Malgun Gothic" w:eastAsia="Malgun Gothic" w:hAnsi="Malgun Gothic"/>
          <w:b/>
          <w:bCs/>
          <w:color w:val="000000"/>
          <w:sz w:val="20"/>
          <w:szCs w:val="20"/>
        </w:rPr>
        <w:t xml:space="preserve">6. Direction conversion</w:t>
      </w:r>
    </w:p>
    <w:p>
      <w:pPr>
        <w:spacing w:after="80"/>
        <w:ind w:left="360" w:hanging="180"/>
      </w:pPr>
      <w:r>
        <w:rPr>
          <w:rFonts w:ascii="Malgun Gothic" w:cs="Malgun Gothic" w:eastAsia="Malgun Gothic" w:hAnsi="Malgun Gothic"/>
          <w:i w:val="false"/>
          <w:iCs w:val="false"/>
          <w:sz w:val="18"/>
          <w:szCs w:val="18"/>
        </w:rPr>
        <w:t xml:space="preserve">•  Kong 2020. Subtype IRRs are printed minority-vs-NHW (verified from "In [minority]… higher/lower than NHW") and taken as-is. The overall comparison for Black women is printed the other way round — "non-Hispanic White women was 31.3 …, which was higher compared with the incidence among Black women (IRR, 1.04; 95% CI, 1.02–1.05)" — whereas the same paragraph gives the paper's other aggregates as minority-vs-NHW (Asian/PI 0.90, AI/AN 0.82, Hispanic 0.79). That row is therefore inverted to Black/NHW 0.96 [0.95, 0.98] so its direction matches both the review's scale and the paper's own other aggregates; provenance `directly-reported-IRR-inverted`.</w:t>
      </w:r>
    </w:p>
    <w:p>
      <w:pPr>
        <w:spacing w:after="100" w:before="200"/>
      </w:pPr>
      <w:r>
        <w:rPr>
          <w:rFonts w:ascii="Malgun Gothic" w:cs="Malgun Gothic" w:eastAsia="Malgun Gothic" w:hAnsi="Malgun Gothic"/>
          <w:b/>
          <w:bCs/>
          <w:color w:val="000000"/>
          <w:sz w:val="20"/>
          <w:szCs w:val="20"/>
        </w:rPr>
        <w:t xml:space="preserve">7. Overlap studies entered for the sensitivity analysis (not representatives)</w:t>
      </w:r>
    </w:p>
    <w:p>
      <w:pPr>
        <w:spacing w:after="80"/>
      </w:pPr>
      <w:r>
        <w:rPr>
          <w:rFonts w:ascii="Malgun Gothic" w:cs="Malgun Gothic" w:eastAsia="Malgun Gothic" w:hAnsi="Malgun Gothic"/>
          <w:i w:val="false"/>
          <w:iCs w:val="false"/>
          <w:sz w:val="18"/>
          <w:szCs w:val="18"/>
        </w:rPr>
        <w:t xml:space="preserve">These five were read from full text and enter the ledger only as overlap/sensitivity rows; each collapses to an existing cell representative (finalize_representatives), so none changes a main-text estimate.</w:t>
      </w:r>
    </w:p>
    <w:p>
      <w:pPr>
        <w:spacing w:after="80"/>
        <w:ind w:left="360" w:hanging="180"/>
      </w:pPr>
      <w:r>
        <w:rPr>
          <w:rFonts w:ascii="Malgun Gothic" w:cs="Malgun Gothic" w:eastAsia="Malgun Gothic" w:hAnsi="Malgun Gothic"/>
          <w:i w:val="false"/>
          <w:iCs w:val="false"/>
          <w:sz w:val="18"/>
          <w:szCs w:val="18"/>
        </w:rPr>
        <w:t xml:space="preserve">•  Gomez 2010 (Gomez 2010, California Cancer Registry, 1988-2004). Table 1 prints age-standardized (2000 US) invasive breast rates: NHW 146.1 (145.5-146.7); Chinese 73.5 (71.6-75.4), Japanese 102.5 (99.3-105.9), Filipina 100.4 (98.1-102.8), Korean 46.3 (43.8-49.0), Vietnamese 59.9 (56.7-63.1), and South Asian [=Asian Indian/Pakistani] 77.0 (72.1-82.1). IRR = rate/146.1 with delta-method CI (e.g. Chinese 0.503, 0.490-0.516; South Asian 0.527, 0.494-0.562). State registry (&lt; national SEER-21); overlaps the SEER-21 subgroup reps (Gomez 2026).</w:t>
      </w:r>
    </w:p>
    <w:p>
      <w:pPr>
        <w:spacing w:after="80"/>
        <w:ind w:left="360" w:hanging="180"/>
      </w:pPr>
      <w:r>
        <w:rPr>
          <w:rFonts w:ascii="Malgun Gothic" w:cs="Malgun Gothic" w:eastAsia="Malgun Gothic" w:hAnsi="Malgun Gothic"/>
          <w:i w:val="false"/>
          <w:iCs w:val="false"/>
          <w:sz w:val="18"/>
          <w:szCs w:val="18"/>
        </w:rPr>
        <w:t xml:space="preserve">•  Jin 2016 (Jin 2016, eight-state SEER+NPCR, 2009-2011). Table 4 (female) prints breast rates with CIs: NHW 134.4 (133.8-135.1); Chinese 82.8, Filipina 111.3, Japanese 127.8, Korean 75.6, South Asian [=Asian Indian/Pakistani] 106.3, Vietnamese 72.2, Asian aggregate 94.5. IRR = rate/134.4, delta-method CI. Eight-state subset (&lt; national SEER-21); overlaps Gomez 2026.</w:t>
      </w:r>
    </w:p>
    <w:p>
      <w:pPr>
        <w:spacing w:after="80"/>
        <w:ind w:left="360" w:hanging="180"/>
      </w:pPr>
      <w:r>
        <w:rPr>
          <w:rFonts w:ascii="Malgun Gothic" w:cs="Malgun Gothic" w:eastAsia="Malgun Gothic" w:hAnsi="Malgun Gothic"/>
          <w:i w:val="false"/>
          <w:iCs w:val="false"/>
          <w:sz w:val="18"/>
          <w:szCs w:val="18"/>
        </w:rPr>
        <w:t xml:space="preserve">•  Melkonian 2022 (Melkonian 2022, urban IHS-linked USCS-AIAD, 2008-2017). Table 2 prints all-ages breast rates for urban populations: AI/AN 74.2, NHW 129.6, RR 0.57. IRR = 74.2/129.6 = 0.573. Urban-restricted IHS subset (&lt; full PRCDA); overlaps the AI/AN aggregate representative (Gopalani 2020).</w:t>
      </w:r>
    </w:p>
    <w:p>
      <w:pPr>
        <w:spacing w:after="80"/>
        <w:ind w:left="360" w:hanging="180"/>
      </w:pPr>
      <w:r>
        <w:rPr>
          <w:rFonts w:ascii="Malgun Gothic" w:cs="Malgun Gothic" w:eastAsia="Malgun Gothic" w:hAnsi="Malgun Gothic"/>
          <w:i w:val="false"/>
          <w:iCs w:val="false"/>
          <w:sz w:val="18"/>
          <w:szCs w:val="18"/>
        </w:rPr>
        <w:t xml:space="preserve">•  Amirikia 2011 (Amirikia 2011, California Cancer Registry, 1988-2006). Table 2 prints age-specific triple-negative rates by race (0-39, 40-49, 50-59, 60-74, &gt;=75). These were age-standardized by the review to all ages with 2000 US standard-population weights (0.5697/0.1540/0.1112/0.1048/0.0603): NHB 23.6, NHW 12.6, Hispanic 10.2 per 100,000. IRR(Black)=1.87, IRR(Hispanic)=0.81. California registry (&lt; national USCS); overlaps the USCS TNBC rep (Sung 2023).</w:t>
      </w:r>
    </w:p>
    <w:p>
      <w:pPr>
        <w:spacing w:after="80"/>
        <w:ind w:left="360" w:hanging="180"/>
      </w:pPr>
      <w:r>
        <w:rPr>
          <w:rFonts w:ascii="Malgun Gothic" w:cs="Malgun Gothic" w:eastAsia="Malgun Gothic" w:hAnsi="Malgun Gothic"/>
          <w:i w:val="false"/>
          <w:iCs w:val="false"/>
          <w:sz w:val="18"/>
          <w:szCs w:val="18"/>
        </w:rPr>
        <w:t xml:space="preserve">•  Zhang 2022 (Zhang 2022, NPCR+SEER/USCS, 2019). The text (Figure 2A) prints the 2019 age-adjusted triple-negative rates by race: NHB 25.0, NHW 12.8, Hispanic 11.5, AI/AN 9.4, AANHPI 9.5 per 100,000. IRR = rate/12.8 (NHB 1.95, Hispanic 0.90, AI/AN 0.73, AANHPI 0.74). Single-year 2019 cross-section; overlaps the USCS TNBC representative (Sung 2023, 2015-2019 mean), which is preferred on the longer span.</w:t>
      </w:r>
    </w:p>
    <w:p>
      <w:r>
        <w:br w:type="page"/>
      </w:r>
    </w:p>
    <w:p>
      <w:pPr>
        <w:sectPr>
          <w:pgSz w:w="15840" w:h="12240" w:orient="landscape"/>
          <w:pgMar w:top="720" w:right="720" w:bottom="720" w:left="720" w:header="708" w:footer="708" w:gutter="0"/>
          <w:pgNumType/>
          <w:docGrid w:linePitch="360"/>
        </w:sectPr>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2026-09-22T03:42:10.202Z</dcterms:created>
  <dcterms:modified xsi:type="dcterms:W3CDTF">2026-09-22T03:42:10.203Z</dcterms:modified>
</cp:coreProperties>
</file>

<file path=docProps/custom.xml><?xml version="1.0" encoding="utf-8"?>
<Properties xmlns="http://schemas.openxmlformats.org/officeDocument/2006/custom-properties" xmlns:vt="http://schemas.openxmlformats.org/officeDocument/2006/docPropsVTypes"/>
</file>