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114 contributed to the narrative synthesis only (162 = 43 + 5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male breast cancer,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43 studies assessed, 37 were Low, 6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62 of 78 cells unchanged, 3 changed, 13 dropped. The changed and dropped cells were concentrated in the disaggregated AANHPI subgroups (with a few age-specific and Middle Eastern cells), whose representatives are computed estimates from moderate-risk-of-bias sources; the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40 unchanged, 5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78 cells unchanged, 1 changed, 21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age-specific Black and US-born nativity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2026-08-30T03:31:00.058Z</dcterms:created>
  <dcterms:modified xsi:type="dcterms:W3CDTF">2026-08-30T03:31:00.058Z</dcterms:modified>
</cp:coreProperties>
</file>

<file path=docProps/custom.xml><?xml version="1.0" encoding="utf-8"?>
<Properties xmlns="http://schemas.openxmlformats.org/officeDocument/2006/custom-properties" xmlns:vt="http://schemas.openxmlformats.org/officeDocument/2006/docPropsVTypes"/>
</file>