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and Meta-analysis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0.50 (Mexican) to 0.82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for AI/AN populations, the aggregate figure is further affected by registry undercounting.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death.¹ Its rates are not the same across racial and ethnic groups. In the American Cancer Society's 2024 report, non-Hispanic Black (NHB) women had breast cancer incidence about 5% lower than non-Hispanic White (NHW) women but 38% higher mortality.¹ NHB women also have the highest rate of triple-negative breast cancer (TNBC),² and their tumors, like those in several other minority groups, are diagnosed at younger ages than in NHW women.³ Differences of this kind have been linked to the distribution of molecular subtypes and to stage at diagnosis, screening, and access to care.²,⁴</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colleagues⁵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Hmong,⁶ and rates differ again across the individual Asian ethnicities followed over time.⁷ Hispanic/Latina women are not one group either: incidence differs by country of origin,⁸ and origin-specific rates have been reported for Hispanic women in California.⁹ For AI/AN women, the aggregate rate is also shaped by how race is recorded: central registries that assign race by observation misclassify many AI/AN cases as non-Native, which understates their rates. Espey and colleagues¹⁰ corrected this by linking registry records to Indian Health Service (IHS) enrollment, and the corrected rates were highest in the Northern and Southern Plains and in Alaska, where cancer in Alaska Native women has been tracked in dedicated registries.¹¹,¹² Subtype rearranges the order once more: NHW women have the highest rate of HR+/HER2− disease while NHB women have the highest rate of TNBC,²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statement.¹³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each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data,¹⁴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synthesis—43 of which provided extractable estimates (145 individual estimates across racial/ethnic groups and analytic dimensions)²⁻⁹,¹¹⁻¹²,¹⁵⁻⁴⁷—and the remaining 115 were included in the narrative synthesis (163 = 48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85 representative estimates (one per racial or ethnic group × analytic dimension) remained; all are listed in Supplementary Table 4, and the principal comparisons—overall incidence, the disaggregated AANHPI and Hispanic-origin subgroups, AI/AN by region, Middle Eastern populations, triple-negative breast cancer, and male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spanning Cambodian 0.26, Laotian 0.39, Vietnamese 0.59, Korean 0.68, Chinese 0.76, Filipina 0.86, and Asian Indian/Pakistani 0.96;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0.50 (0.38–0.67), New Latino 0.68 (0.62–0.76), Cuban 0.76 (0.68–0.84), and Puerto Rican 0.82 (0.73–0.92);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Male breast cancer</w:t>
      </w:r>
    </w:p>
    <w:p>
      <w:pPr>
        <w:spacing w:after="160" w:line="360"/>
      </w:pPr>
      <w:r>
        <w:rPr>
          <w:rFonts w:ascii="Times New Roman" w:cs="Times New Roman" w:eastAsia="Times New Roman" w:hAnsi="Times New Roman"/>
          <w:sz w:val="24"/>
          <w:szCs w:val="24"/>
        </w:rPr>
        <w:t xml:space="preserve">Among men, breast cancer incidence in Black men was 1.52 (1.44–1.60)† relative to White men (Table 1).</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studies not entered into the quantitative synthesis met the inclusion criteria but did not report an incidence rate ratio, or age-standardized rates, from which a comparison with a non-Hispanic White reference could be recovered; they are listed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stable across three checks (Supplementary Table 6). Restricting to low-risk-of-bias studies left 67 of 85 cell representatives unchanged (5 changed, 13 dropped); restricting to directly reported estimates left 46 unchanged (6 changed, 33 dropped); and restricting to NHW-comparator estimates left 57 unchanged (2 changed, 26 dropped), the dropped cells being those whose only representative used an unstratified White comparator — the receptor-defined subtypes, male breast cancer,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0.50 in Mexican women to 0.82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documented the wide variation among Asian American subgroups within the aggregate category;⁵ the present estimates span the full set of subgroups over the most recent SEER-21 period.²⁶ The high incidence observed in Native Hawaiian women echoes the heterogeneous burden reported in Hawaii,²¹ and the ordering of Hispanic subgroups—lower in Mexican and higher in Puerto Rican and Cuban women—reproduces the gradient described among first-generation U.S. Hispanics.⁸ The regional range across AI/AN populations, and the low rate in the Navajo area, are in line with prior regional and tribal analyses.¹⁰,³³,³⁷,⁴⁰ The higher TNBC incidence in NHB women is also concordant with prior subtype-specific work.²,²⁰ The contribution here is to bring these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residence.⁵,⁹ Differences in the distribution of molecular subtypes and in stage at diagnosis, screening, and access to care have also been described and may contribute to the observed patterns.²,²⁸ For AI/AN populations, part of the apparent difference reflects a data issue rather than a difference in underlying risk: unlinked national registries misclassify race and undercount AI/AN cases, which is why Indian Health Service–linked estimates were preferred for this group.¹⁰,⁴⁰ The available data do not support attributing these differences to genetic ancestry or to a specific biological mechanism.</w:t>
      </w:r>
    </w:p>
    <w:p>
      <w:pPr>
        <w:spacing w:after="160" w:line="360"/>
      </w:pPr>
      <w:r>
        <w:rPr>
          <w:rFonts w:ascii="Times New Roman" w:cs="Times New Roman" w:eastAsia="Times New Roman" w:hAnsi="Times New Roman"/>
          <w:sz w:val="24"/>
          <w:szCs w:val="24"/>
        </w:rPr>
        <w:t xml:space="preserve">At the aggregate level, these categories do not reflect the higher incidence seen in some subgroups—Native Hawaiian women, several AI/AN regional populations, and NHB women for triple-negative disease. For AI/AN populations, part of the aggregate difference reflects registry undercounting rather than lower incidence. Estimates for the smallest subgroups rested on limited numbers and differed in standard population and diagnosis period, which constrains their precision and comparability.</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receptor-defined subtypes, and male breast cancer;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rates, and a few used a fixed reference rate as the denominator (for example, the Florida Hispanic-origin estimates⁸) or an unstratified White comparator (the receptor-defined subtypes and male breast cancer),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Registry overlap and the undercounting of AI/AN populations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2026-08-19T09:57:27.070Z</dcterms:created>
  <dcterms:modified xsi:type="dcterms:W3CDTF">2026-08-19T09:57:27.070Z</dcterms:modified>
</cp:coreProperties>
</file>

<file path=docProps/custom.xml><?xml version="1.0" encoding="utf-8"?>
<Properties xmlns="http://schemas.openxmlformats.org/officeDocument/2006/custom-properties" xmlns:vt="http://schemas.openxmlformats.org/officeDocument/2006/docPropsVTypes"/>
</file>