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states, for each study, whether quantitative data were extractable and how the study was used, with the per-study reason it was or was not selected as a cell representative: “Representative for N cell(s)” — supplied the main-analysis benchmark for N analytic cells (group × dimension), the selection basis in parentheses; “overlap for M” — also contributed M overlapping estimates kept only for the sensitivity re-selection; “Overlap/sensitivity only” — every estimate overlapped an already-represented cell, with the reason it was not selected. For the studies under “Narrative synthesis only” the column instead gives the reason no quantitative estimate was taken. One representative is selected per analytic cell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(all races)</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0.681 [0.675, 0.687]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58 studies assessed, 45 were Low, 13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Hispanic 73.9 is referenced to Non-Hispanic 108.5 [108.3–108.7] = 0.681 [0.675, 0.687]. Comparator is unstratified White (Non-Hispanic for the Hispanic row);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2026-09-17T03:41:13.415Z</dcterms:created>
  <dcterms:modified xsi:type="dcterms:W3CDTF">2026-09-17T03:41:13.415Z</dcterms:modified>
</cp:coreProperties>
</file>

<file path=docProps/custom.xml><?xml version="1.0" encoding="utf-8"?>
<Properties xmlns="http://schemas.openxmlformats.org/officeDocument/2006/custom-properties" xmlns:vt="http://schemas.openxmlformats.org/officeDocument/2006/docPropsVTypes"/>
</file>