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114 contributed to the narrative synthesis only (162 = 43 + 5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58 of 76 cells unchanged, 8 changed, 10 dropped. The changed and dropped cells were concentrated in the disaggregated AANHPI subgroups (with a few age-specific and Middle Eastern cells), whose representatives are computed estimates from moderate-risk-of-bias sources; the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38 unchanged, 5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76 cells unchanged, 1 changed, 19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age-specific Black and US-born nativity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Unlinked state registries</w:t>
      </w:r>
    </w:p>
    <w:p>
      <w:pPr>
        <w:spacing w:after="80"/>
      </w:pPr>
      <w:r>
        <w:rPr>
          <w:rFonts w:ascii="Malgun Gothic" w:cs="Malgun Gothic" w:eastAsia="Malgun Gothic" w:hAnsi="Malgun Gothic"/>
          <w:i w:val="false"/>
          <w:iCs w:val="false"/>
          <w:sz w:val="18"/>
          <w:szCs w:val="18"/>
        </w:rPr>
        <w:t xml:space="preserve">• undercount AI/AN, so this is demoted by the AI/AN-undercount rule below the</w:t>
      </w:r>
    </w:p>
    <w:p>
      <w:pPr>
        <w:spacing w:after="80"/>
      </w:pPr>
      <w:r>
        <w:rPr>
          <w:rFonts w:ascii="Malgun Gothic" w:cs="Malgun Gothic" w:eastAsia="Malgun Gothic" w:hAnsi="Malgun Gothic"/>
          <w:i w:val="false"/>
          <w:iCs w:val="false"/>
          <w:sz w:val="18"/>
          <w:szCs w:val="18"/>
        </w:rPr>
        <w:t xml:space="preserve">• IHS-linked Northern-Plains representative (Melkonian 2021).</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API 9.5 per 100,000. IRR = rate/12.8 (NHB 1.95, Hispanic 0.90,</w:t>
      </w:r>
    </w:p>
    <w:p>
      <w:pPr>
        <w:spacing w:after="80"/>
      </w:pPr>
      <w:r>
        <w:rPr>
          <w:rFonts w:ascii="Malgun Gothic" w:cs="Malgun Gothic" w:eastAsia="Malgun Gothic" w:hAnsi="Malgun Gothic"/>
          <w:i w:val="false"/>
          <w:iCs w:val="false"/>
          <w:sz w:val="18"/>
          <w:szCs w:val="18"/>
        </w:rPr>
        <w:t xml:space="preserve">• AI/AN 0.73, API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2026-09-01T08:44:47.733Z</dcterms:created>
  <dcterms:modified xsi:type="dcterms:W3CDTF">2026-09-01T08:44:47.733Z</dcterms:modified>
</cp:coreProperties>
</file>

<file path=docProps/custom.xml><?xml version="1.0" encoding="utf-8"?>
<Properties xmlns="http://schemas.openxmlformats.org/officeDocument/2006/custom-properties" xmlns:vt="http://schemas.openxmlformats.org/officeDocument/2006/docPropsVTypes"/>
</file>