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DL</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DerSimonian-Laird (random-effects τ² estimator)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GRADE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Grading of Recommendations, Assessment, Development and Evaluations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HKSJ</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Hartung-Knapp-Sidik-Jonkman (confidence-interval method)</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I²</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I-squared (proportion of variation due to between-study heterogeneity)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and North African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Newcastle-Ottawa Scale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Paule-Mandel (random-effects τ² estimator, REML-equivalent)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Q</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Cochran's Q (heterogeneity test statistic)</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REML</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restricted maximum likelihood</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τ²</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tau-squared (between-study variance)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Terminology: comparisons are versus non-Hispanic White (NHW); “non-Hispanic Black (NHB)” and NHW denote non-Hispanic categories. Five older sources did NOT stratify by Hispanic origin — Anderson 2008 and Brinton 2008 (age-specific), Gleason 2012 (ER/PR subtypes), and Cronin 2012 and Richardson 2016 (aggregate, sensitivity/overlap only) — so their Black/White groups are non-stratified; none is a main-analysis representative for the headline (aggregate/TNBC) cells (Note 1).</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Howlader 2014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Davis Lynn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Zhang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Zahrieh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Xu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Cronin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Baquet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Gleason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Brinton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Richardson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Harper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Ihenacho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Yazzie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Xie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Carozza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032"/>
        <w:gridCol w:w="2330"/>
        <w:gridCol w:w="598"/>
        <w:gridCol w:w="1793"/>
        <w:gridCol w:w="2988"/>
        <w:gridCol w:w="896"/>
        <w:gridCol w:w="1016"/>
        <w:gridCol w:w="2749"/>
      </w:tblGrid>
      <w:tr>
        <w:trPr>
          <w:tblHeader/>
        </w:trPr>
        <w:tc>
          <w:tcPr>
            <w:tcW w:type="dxa" w:w="203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33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59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179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Model</w:t>
            </w:r>
          </w:p>
        </w:tc>
        <w:tc>
          <w:tcPr>
            <w:tcW w:type="dxa" w:w="29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89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101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 p</w:t>
            </w:r>
          </w:p>
        </w:tc>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0.078</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(0.258-6.919)</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(1.142-1.226)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(0.603-0.802)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(0.724-0.878)</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(0.936-0.965)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(0.675-0.765)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(0.044-13.475)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(0.937-0.979)</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(0.001-210.57)</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(0.654-0.701)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(0.95-1.651)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0.290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(0.814-3.533)</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(1.74-1.853)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(0.286-2.02)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(0.805-0.836)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(0.176-3.41)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(0.855-0.885)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(0.305-2.091)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(0.845-0.875)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(0.135-3.486)</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(0.765-0.795)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(0.539-2.124)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(1.081-1.161)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(0.133-4.731)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(0.88-0.941)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(0.551-0.92)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(1.815-2.134)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(0.746-1.034)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Model = random-effects for every cell (Paule-Mandel/REML τ² with a Hartung-Knapp-Sidik-Jonkman confidence interval); no fixed-effect model was used. Sensitivity IRR = all k estimates pooled. I² and Q p = the between-study heterogeneity of the all-included (sensitivity) pool; Q p is the p-value of Cochran's Q (χ² with k−1 df). The very high I² / small Q p here reflect repeated inclusion of non-independent, overlapping registry data rather than genuine between-study heterogeneity — which is why it is NOT treated as inconsistency in the GRADE framework (Table 6) and why the main analysis collapses to one representative per registry family. Main IRR = that single representative, which removes the non-independence. For cells with k &lt; 3 the HKSJ interval (t with k−1 df) is unstable and over-wide, so read the point estimate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(0.614-0.786)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(0.620-0.779)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0.0229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0.603-0.802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(0.743-0.856)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0.0077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(0.741-0.859)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0.724-0.878</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(0.937-0.964)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(0.938-0.963)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0.936-0.965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(0.691-0.748)</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(0.683-0.756)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0.675-0.765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(0.645-0.790)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(0.634-0.801)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0.0094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0.551-0.920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1.976 (1.912-2.042)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(1.872-2.069)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1.815-2.134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(0.818-0.944)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(0.815-0.946)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0.746-1.034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0.258-6.919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0.044-13.475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0.001-210.570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0.950-1.651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0.814-3.533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0.286-2.020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0.176-3.410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0.305-2.091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0.135-3.486</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0.539-2.124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0.133-4.731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r>
    </w:tbl>
    <w:p>
      <w:pPr>
        <w:spacing w:after="80"/>
      </w:pPr>
    </w:p>
    <w:p>
      <w:pPr>
        <w:spacing w:after="80"/>
      </w:pPr>
      <w:r>
        <w:rPr>
          <w:rFonts w:ascii="Malgun Gothic" w:cs="Malgun Gothic" w:eastAsia="Malgun Gothic" w:hAnsi="Malgun Gothic"/>
          <w:i/>
          <w:iCs/>
          <w:sz w:val="18"/>
          <w:szCs w:val="18"/>
        </w:rPr>
        <w:t xml:space="preserve">Across the four cells with ≥3 estimates (Black, Hispanic, Asian/Pacific Islander, American Indian/Alaska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(Fig 1 footnote points to it).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(Earlier this cell was carried as point-only;</w:t>
      </w:r>
    </w:p>
    <w:p>
      <w:pPr>
        <w:spacing w:after="80"/>
      </w:pPr>
      <w:r>
        <w:rPr>
          <w:rFonts w:ascii="Malgun Gothic" w:cs="Malgun Gothic" w:eastAsia="Malgun Gothic" w:hAnsi="Malgun Gothic"/>
          <w:i w:val="false"/>
          <w:iCs w:val="false"/>
          <w:sz w:val="18"/>
          <w:szCs w:val="18"/>
        </w:rPr>
        <w:t xml:space="preserve">• the rate CIs in Suppl Table 3 had been overlooked at extraction and are now</w:t>
      </w:r>
    </w:p>
    <w:p>
      <w:pPr>
        <w:spacing w:after="80"/>
      </w:pPr>
      <w:r>
        <w:rPr>
          <w:rFonts w:ascii="Malgun Gothic" w:cs="Malgun Gothic" w:eastAsia="Malgun Gothic" w:hAnsi="Malgun Gothic"/>
          <w:i w:val="false"/>
          <w:iCs w:val="false"/>
          <w:sz w:val="18"/>
          <w:szCs w:val="18"/>
        </w:rPr>
        <w:t xml:space="preserve">• propagated — e.g. TNBC Black 1.82 [1.70, 1.95], HR+/HER2− API 0.69</w:t>
      </w:r>
    </w:p>
    <w:p>
      <w:pPr>
        <w:spacing w:after="80"/>
      </w:pPr>
      <w:r>
        <w:rPr>
          <w:rFonts w:ascii="Malgun Gothic" w:cs="Malgun Gothic" w:eastAsia="Malgun Gothic" w:hAnsi="Malgun Gothic"/>
          <w:i w:val="false"/>
          <w:iCs w:val="false"/>
          <w:sz w:val="18"/>
          <w:szCs w:val="18"/>
        </w:rPr>
        <w:t xml:space="preserve">•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 (An earlier pass overlooked eTable 3 and paired an</w:t>
      </w:r>
    </w:p>
    <w:p>
      <w:pPr>
        <w:spacing w:after="80"/>
      </w:pPr>
      <w:r>
        <w:rPr>
          <w:rFonts w:ascii="Malgun Gothic" w:cs="Malgun Gothic" w:eastAsia="Malgun Gothic" w:hAnsi="Malgun Gothic"/>
          <w:i w:val="false"/>
          <w:iCs w:val="false"/>
          <w:sz w:val="18"/>
          <w:szCs w:val="18"/>
        </w:rPr>
        <w:t xml:space="preserve">• external SEER-Explorer NHW of 140.3; using the paper's own NHW is</w:t>
      </w:r>
    </w:p>
    <w:p>
      <w:pPr>
        <w:spacing w:after="80"/>
      </w:pPr>
      <w:r>
        <w:rPr>
          <w:rFonts w:ascii="Malgun Gothic" w:cs="Malgun Gothic" w:eastAsia="Malgun Gothic" w:hAnsi="Malgun Gothic"/>
          <w:i w:val="false"/>
          <w:iCs w:val="false"/>
          <w:sz w:val="18"/>
          <w:szCs w:val="18"/>
        </w:rPr>
        <w:t xml:space="preserve">• registry/period/standard-consistent and shifts IRRs by &lt;1%.)</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d52e56431f6c566a74049906847fff298e04de.png"/><Relationship Id="rId8" Type="http://schemas.openxmlformats.org/officeDocument/2006/relationships/image" Target="media/ce733517712e4363cffe22202b140ab6a4e17c04.png"/><Relationship Id="rId9" Type="http://schemas.openxmlformats.org/officeDocument/2006/relationships/image" Target="media/a0ac2071944871291c8f9553127667b80a1d18e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2026-08-16T04:02:12.422Z</dcterms:created>
  <dcterms:modified xsi:type="dcterms:W3CDTF">2026-08-16T04:02:12.422Z</dcterms:modified>
</cp:coreProperties>
</file>

<file path=docProps/custom.xml><?xml version="1.0" encoding="utf-8"?>
<Properties xmlns="http://schemas.openxmlformats.org/officeDocument/2006/custom-properties" xmlns:vt="http://schemas.openxmlformats.org/officeDocument/2006/docPropsVTypes"/>
</file>