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four reports whose full text could not be obtained, which were assessed and included on the basis of their abstracts and enter only the narrative synthesis. The model assisted data extraction and cross-checked each extracted value against its source, and every included estimate was verified by the author against the source table, figure, or text. This source re-verification rendered every included report's tables as page images, not only its extracted text, so that rate ratios printed in image-only tables were not missed. Four reports first placed in the narrative set were moved to the quantitative synthesis once their tables were read in full: two national USCS studies giving age-adjusted incidence rate ratios versus NHW women for those aged 20–49 years and for those aged 65 years and older, a seven-state Delta-region study giving age-adjusted subtype rate ratios versus NHW women, and a SEER study giving age-adjusted rates by race from which the NHW comparison was recomputed. All four contributed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single population-based benchmark for that cell)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245 reports; 10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2026-09-12T02:11:30.900Z</dcterms:created>
  <dcterms:modified xsi:type="dcterms:W3CDTF">2026-09-12T02:11:30.900Z</dcterms:modified>
</cp:coreProperties>
</file>

<file path=docProps/custom.xml><?xml version="1.0" encoding="utf-8"?>
<Properties xmlns="http://schemas.openxmlformats.org/officeDocument/2006/custom-properties" xmlns:vt="http://schemas.openxmlformats.org/officeDocument/2006/docPropsVTypes"/>
</file>